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AE657" w14:textId="77777777" w:rsidR="00890E3B" w:rsidRDefault="00890E3B" w:rsidP="00890E3B">
      <w:pPr>
        <w:shd w:val="clear" w:color="auto" w:fill="FFFFFF"/>
        <w:spacing w:line="336" w:lineRule="atLeast"/>
        <w:outlineLvl w:val="1"/>
        <w:rPr>
          <w:rFonts w:ascii="Tahoma" w:hAnsi="Tahoma" w:cs="Tahoma"/>
          <w:b/>
          <w:bCs/>
          <w:color w:val="000099"/>
          <w:kern w:val="36"/>
          <w:sz w:val="32"/>
          <w:szCs w:val="32"/>
        </w:rPr>
      </w:pPr>
      <w:r>
        <w:rPr>
          <w:rFonts w:ascii="Tahoma" w:hAnsi="Tahoma" w:cs="Tahoma"/>
          <w:b/>
          <w:bCs/>
          <w:color w:val="000099"/>
          <w:kern w:val="36"/>
          <w:sz w:val="32"/>
          <w:szCs w:val="32"/>
        </w:rPr>
        <w:t>Per l’Inps restano valide le certificazioni Inail di esposizione all’amianto</w:t>
      </w:r>
    </w:p>
    <w:p w14:paraId="2223684E" w14:textId="77777777" w:rsidR="00890E3B" w:rsidRDefault="00890E3B" w:rsidP="00890E3B">
      <w:pPr>
        <w:shd w:val="clear" w:color="auto" w:fill="FFFFFF"/>
        <w:spacing w:line="360" w:lineRule="atLeast"/>
        <w:jc w:val="right"/>
        <w:rPr>
          <w:rFonts w:ascii="Verdana" w:hAnsi="Verdana"/>
          <w:i/>
          <w:iCs/>
          <w:color w:val="888888"/>
          <w:sz w:val="18"/>
          <w:szCs w:val="18"/>
        </w:rPr>
      </w:pPr>
      <w:r>
        <w:rPr>
          <w:rStyle w:val="meta-prep"/>
          <w:rFonts w:ascii="Verdana" w:hAnsi="Verdana"/>
          <w:i/>
          <w:iCs/>
          <w:color w:val="888888"/>
          <w:sz w:val="18"/>
          <w:szCs w:val="18"/>
        </w:rPr>
        <w:t>Scritto il</w:t>
      </w:r>
      <w:r>
        <w:rPr>
          <w:rFonts w:ascii="Verdana" w:hAnsi="Verdana"/>
          <w:i/>
          <w:iCs/>
          <w:color w:val="888888"/>
          <w:sz w:val="18"/>
          <w:szCs w:val="18"/>
        </w:rPr>
        <w:t xml:space="preserve"> </w:t>
      </w:r>
      <w:hyperlink r:id="rId6" w:tooltip="14:35" w:history="1">
        <w:r>
          <w:rPr>
            <w:rStyle w:val="entry-date3"/>
            <w:rFonts w:ascii="Verdana" w:hAnsi="Verdana"/>
            <w:i/>
            <w:iCs/>
            <w:color w:val="000099"/>
            <w:sz w:val="18"/>
            <w:szCs w:val="18"/>
            <w:u w:val="single"/>
          </w:rPr>
          <w:t>2 dicembre 2013</w:t>
        </w:r>
      </w:hyperlink>
      <w:r>
        <w:rPr>
          <w:rFonts w:ascii="Verdana" w:hAnsi="Verdana"/>
          <w:i/>
          <w:iCs/>
          <w:color w:val="888888"/>
          <w:sz w:val="18"/>
          <w:szCs w:val="18"/>
        </w:rPr>
        <w:t xml:space="preserve"> </w:t>
      </w:r>
      <w:r>
        <w:rPr>
          <w:rStyle w:val="meta-sep"/>
          <w:rFonts w:ascii="Verdana" w:hAnsi="Verdana"/>
          <w:i/>
          <w:iCs/>
          <w:color w:val="888888"/>
          <w:sz w:val="18"/>
          <w:szCs w:val="18"/>
        </w:rPr>
        <w:t>da</w:t>
      </w:r>
      <w:r>
        <w:rPr>
          <w:rFonts w:ascii="Verdana" w:hAnsi="Verdana"/>
          <w:i/>
          <w:iCs/>
          <w:color w:val="888888"/>
          <w:sz w:val="18"/>
          <w:szCs w:val="18"/>
        </w:rPr>
        <w:t xml:space="preserve"> </w:t>
      </w:r>
      <w:hyperlink r:id="rId7" w:tooltip="Vedi tutti gli articoli di Enzo Gonano" w:history="1">
        <w:r>
          <w:rPr>
            <w:rStyle w:val="author"/>
            <w:rFonts w:ascii="Verdana" w:hAnsi="Verdana"/>
            <w:i/>
            <w:iCs/>
            <w:color w:val="000099"/>
            <w:sz w:val="18"/>
            <w:szCs w:val="18"/>
            <w:u w:val="single"/>
          </w:rPr>
          <w:t>Enzo Gonano</w:t>
        </w:r>
      </w:hyperlink>
      <w:r>
        <w:rPr>
          <w:rFonts w:ascii="Verdana" w:hAnsi="Verdana"/>
          <w:i/>
          <w:iCs/>
          <w:color w:val="888888"/>
          <w:sz w:val="18"/>
          <w:szCs w:val="18"/>
        </w:rPr>
        <w:t xml:space="preserve"> </w:t>
      </w:r>
    </w:p>
    <w:p w14:paraId="436543DD" w14:textId="77777777" w:rsidR="00890E3B" w:rsidRDefault="00890E3B" w:rsidP="00890E3B">
      <w:pPr>
        <w:shd w:val="clear" w:color="auto" w:fill="FFFFFF"/>
        <w:spacing w:line="360" w:lineRule="atLeast"/>
        <w:rPr>
          <w:rFonts w:ascii="Verdana" w:hAnsi="Verdana"/>
          <w:color w:val="333333"/>
        </w:rPr>
      </w:pPr>
      <w:r>
        <w:rPr>
          <w:rFonts w:ascii="Verdana" w:hAnsi="Verdana"/>
          <w:noProof/>
          <w:color w:val="333333"/>
          <w:lang w:val="en-US"/>
        </w:rPr>
        <w:drawing>
          <wp:inline distT="0" distB="0" distL="0" distR="0" wp14:anchorId="288F8821" wp14:editId="256616FC">
            <wp:extent cx="1905000" cy="1889760"/>
            <wp:effectExtent l="0" t="0" r="0" b="0"/>
            <wp:docPr id="1" name="Immagine 1" descr="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89760"/>
                    </a:xfrm>
                    <a:prstGeom prst="rect">
                      <a:avLst/>
                    </a:prstGeom>
                    <a:noFill/>
                    <a:ln>
                      <a:noFill/>
                    </a:ln>
                  </pic:spPr>
                </pic:pic>
              </a:graphicData>
            </a:graphic>
          </wp:inline>
        </w:drawing>
      </w:r>
    </w:p>
    <w:p w14:paraId="1EE952B9" w14:textId="77777777" w:rsidR="00890E3B" w:rsidRDefault="00890E3B" w:rsidP="00890E3B">
      <w:pPr>
        <w:pStyle w:val="didascalia1"/>
        <w:shd w:val="clear" w:color="auto" w:fill="333333"/>
        <w:rPr>
          <w:rFonts w:ascii="Verdana" w:hAnsi="Verdana"/>
        </w:rPr>
      </w:pPr>
      <w:r>
        <w:rPr>
          <w:rFonts w:ascii="Verdana" w:hAnsi="Verdana"/>
        </w:rPr>
        <w:t>Circolare 29 novembre 2013, n. 164.</w:t>
      </w:r>
    </w:p>
    <w:p w14:paraId="78174A16" w14:textId="77777777" w:rsidR="00890E3B" w:rsidRDefault="00890E3B" w:rsidP="00890E3B">
      <w:pPr>
        <w:pStyle w:val="didascalia1"/>
        <w:shd w:val="clear" w:color="auto" w:fill="333333"/>
        <w:rPr>
          <w:rFonts w:ascii="Verdana" w:hAnsi="Verdana"/>
        </w:rPr>
      </w:pPr>
      <w:r>
        <w:rPr>
          <w:rFonts w:ascii="Verdana" w:hAnsi="Verdana"/>
        </w:rPr>
        <w:t>Art. 42–quater della legge 9 agosto 2013, n. 98, di conversione, con modificazioni, del decreto legge n. 69 del 14 giugno 2013 Salvaguardia della validità ed efficacia delle certificazioni di esposizione all’amianto.</w:t>
      </w:r>
    </w:p>
    <w:p w14:paraId="308227C0" w14:textId="77777777" w:rsidR="00890E3B" w:rsidRDefault="00890E3B" w:rsidP="00890E3B">
      <w:pPr>
        <w:shd w:val="clear" w:color="auto" w:fill="FFFFFF"/>
        <w:spacing w:before="100" w:beforeAutospacing="1" w:after="360" w:line="360" w:lineRule="atLeast"/>
        <w:rPr>
          <w:rFonts w:ascii="Verdana" w:hAnsi="Verdana"/>
          <w:color w:val="333333"/>
        </w:rPr>
      </w:pPr>
      <w:r>
        <w:rPr>
          <w:rFonts w:ascii="Verdana" w:hAnsi="Verdana"/>
          <w:color w:val="333333"/>
        </w:rPr>
        <w:t>Per i lavoratori che alla data del 22 giugno 2013 risultano:</w:t>
      </w:r>
    </w:p>
    <w:p w14:paraId="0C3BD109" w14:textId="77777777" w:rsidR="00890E3B" w:rsidRDefault="00890E3B" w:rsidP="00890E3B">
      <w:pPr>
        <w:numPr>
          <w:ilvl w:val="0"/>
          <w:numId w:val="1"/>
        </w:numPr>
        <w:shd w:val="clear" w:color="auto" w:fill="FFFFFF"/>
        <w:spacing w:before="100" w:beforeAutospacing="1" w:after="100" w:afterAutospacing="1" w:line="360" w:lineRule="atLeast"/>
        <w:ind w:left="1170"/>
        <w:rPr>
          <w:rFonts w:ascii="Verdana" w:hAnsi="Verdana"/>
          <w:color w:val="333333"/>
        </w:rPr>
      </w:pPr>
      <w:r>
        <w:rPr>
          <w:rStyle w:val="Strong"/>
          <w:rFonts w:ascii="Verdana" w:hAnsi="Verdana"/>
          <w:color w:val="333333"/>
        </w:rPr>
        <w:t>cessati per mobilità;</w:t>
      </w:r>
    </w:p>
    <w:p w14:paraId="6DCF0967" w14:textId="77777777" w:rsidR="00890E3B" w:rsidRDefault="00890E3B" w:rsidP="00890E3B">
      <w:pPr>
        <w:numPr>
          <w:ilvl w:val="0"/>
          <w:numId w:val="1"/>
        </w:numPr>
        <w:shd w:val="clear" w:color="auto" w:fill="FFFFFF"/>
        <w:spacing w:before="100" w:beforeAutospacing="1" w:after="100" w:afterAutospacing="1" w:line="360" w:lineRule="atLeast"/>
        <w:ind w:left="1170"/>
        <w:rPr>
          <w:rFonts w:ascii="Verdana" w:hAnsi="Verdana"/>
          <w:color w:val="333333"/>
        </w:rPr>
      </w:pPr>
      <w:r>
        <w:rPr>
          <w:rStyle w:val="Strong"/>
          <w:rFonts w:ascii="Verdana" w:hAnsi="Verdana"/>
          <w:color w:val="333333"/>
        </w:rPr>
        <w:t>titolari di prestazioni straordinarie a carico dei fondi di solidarietà;</w:t>
      </w:r>
    </w:p>
    <w:p w14:paraId="3AA8AB08" w14:textId="77777777" w:rsidR="00890E3B" w:rsidRDefault="00890E3B" w:rsidP="00890E3B">
      <w:pPr>
        <w:numPr>
          <w:ilvl w:val="0"/>
          <w:numId w:val="1"/>
        </w:numPr>
        <w:shd w:val="clear" w:color="auto" w:fill="FFFFFF"/>
        <w:spacing w:before="100" w:beforeAutospacing="1" w:after="100" w:afterAutospacing="1" w:line="360" w:lineRule="atLeast"/>
        <w:ind w:left="1170"/>
        <w:rPr>
          <w:rFonts w:ascii="Verdana" w:hAnsi="Verdana"/>
          <w:color w:val="333333"/>
        </w:rPr>
      </w:pPr>
      <w:r>
        <w:rPr>
          <w:rStyle w:val="Strong"/>
          <w:rFonts w:ascii="Verdana" w:hAnsi="Verdana"/>
          <w:color w:val="333333"/>
        </w:rPr>
        <w:t>autorizzati alla prosecuzione volontaria della contribuzione;</w:t>
      </w:r>
    </w:p>
    <w:p w14:paraId="73B61A0F" w14:textId="77777777" w:rsidR="00890E3B" w:rsidRDefault="00890E3B" w:rsidP="00890E3B">
      <w:pPr>
        <w:shd w:val="clear" w:color="auto" w:fill="FFFFFF"/>
        <w:spacing w:before="100" w:beforeAutospacing="1" w:after="360" w:line="360" w:lineRule="atLeast"/>
        <w:rPr>
          <w:rFonts w:ascii="Verdana" w:hAnsi="Verdana"/>
          <w:color w:val="333333"/>
        </w:rPr>
      </w:pPr>
      <w:r>
        <w:rPr>
          <w:rFonts w:ascii="Verdana" w:hAnsi="Verdana"/>
          <w:color w:val="333333"/>
        </w:rPr>
        <w:t>sono valide ed efficaci, ai fini pensionistici, le certificazioni Inail di esposizione all’amianto.</w:t>
      </w:r>
    </w:p>
    <w:p w14:paraId="2C12AE95" w14:textId="77777777" w:rsidR="00890E3B" w:rsidRDefault="00890E3B" w:rsidP="00890E3B">
      <w:pPr>
        <w:shd w:val="clear" w:color="auto" w:fill="FFFFFF"/>
        <w:spacing w:before="100" w:beforeAutospacing="1" w:after="360" w:line="360" w:lineRule="atLeast"/>
        <w:rPr>
          <w:rFonts w:ascii="Verdana" w:hAnsi="Verdana"/>
          <w:color w:val="333333"/>
        </w:rPr>
      </w:pPr>
      <w:r>
        <w:rPr>
          <w:rFonts w:ascii="Verdana" w:hAnsi="Verdana"/>
          <w:color w:val="333333"/>
        </w:rPr>
        <w:t>Così la Direzione centrale pensioni dell’Inps, che con la circolare 164 del 29 novembre ha informato le proprie Direzioni territoriali in merito all’applicazione dell’art. 42–quater della legge 98/2013, n. 98, di conversione del decreto legge n. 69/2013 (</w:t>
      </w:r>
      <w:r>
        <w:rPr>
          <w:rStyle w:val="Emphasis"/>
          <w:rFonts w:ascii="Verdana" w:hAnsi="Verdana"/>
          <w:color w:val="333333"/>
        </w:rPr>
        <w:t>Disposizioni urgenti per il rilancio dell’economia</w:t>
      </w:r>
      <w:r>
        <w:rPr>
          <w:rFonts w:ascii="Verdana" w:hAnsi="Verdana"/>
          <w:color w:val="333333"/>
        </w:rPr>
        <w:t>)</w:t>
      </w:r>
      <w:r>
        <w:rPr>
          <w:rStyle w:val="Strong"/>
          <w:rFonts w:ascii="Verdana" w:hAnsi="Verdana"/>
          <w:color w:val="333333"/>
        </w:rPr>
        <w:t>*</w:t>
      </w:r>
      <w:r>
        <w:rPr>
          <w:rFonts w:ascii="Verdana" w:hAnsi="Verdana"/>
          <w:color w:val="333333"/>
        </w:rPr>
        <w:t>.</w:t>
      </w:r>
    </w:p>
    <w:p w14:paraId="63C04ACA" w14:textId="77777777" w:rsidR="00890E3B" w:rsidRDefault="00890E3B" w:rsidP="00890E3B">
      <w:pPr>
        <w:shd w:val="clear" w:color="auto" w:fill="FFFFFF"/>
        <w:spacing w:before="100" w:beforeAutospacing="1" w:after="360" w:line="360" w:lineRule="atLeast"/>
        <w:rPr>
          <w:rFonts w:ascii="Verdana" w:hAnsi="Verdana"/>
          <w:color w:val="333333"/>
        </w:rPr>
      </w:pPr>
      <w:r>
        <w:rPr>
          <w:rFonts w:ascii="Verdana" w:hAnsi="Verdana"/>
          <w:color w:val="333333"/>
        </w:rPr>
        <w:t xml:space="preserve">Secondo la disposizione, che è entrata in vigore dal 21 agosto 2013, inoltre,  ”i provvedimenti di revoca delle certificazioni rilasciate sono privi di effetto, </w:t>
      </w:r>
      <w:r>
        <w:rPr>
          <w:rStyle w:val="Strong"/>
          <w:rFonts w:ascii="Verdana" w:hAnsi="Verdana"/>
          <w:color w:val="333333"/>
        </w:rPr>
        <w:t>salvo il caso di dolo dell’interessato accertato in via giudiziale</w:t>
      </w:r>
      <w:r>
        <w:rPr>
          <w:rFonts w:ascii="Verdana" w:hAnsi="Verdana"/>
          <w:color w:val="333333"/>
        </w:rPr>
        <w:t xml:space="preserve"> con sentenza definitiva”. In questo caso i benefici in questione decadono, “con obbligo di integrale restituzione delle somme percepite…”.</w:t>
      </w:r>
    </w:p>
    <w:p w14:paraId="63021E38" w14:textId="77777777" w:rsidR="00890E3B" w:rsidRDefault="00890E3B" w:rsidP="00890E3B">
      <w:pPr>
        <w:shd w:val="clear" w:color="auto" w:fill="FFFFFF"/>
        <w:spacing w:before="100" w:beforeAutospacing="1" w:after="360" w:line="360" w:lineRule="atLeast"/>
        <w:rPr>
          <w:rFonts w:ascii="Verdana" w:hAnsi="Verdana"/>
          <w:color w:val="333333"/>
        </w:rPr>
      </w:pPr>
      <w:r>
        <w:rPr>
          <w:rStyle w:val="Strong"/>
          <w:rFonts w:ascii="Verdana" w:hAnsi="Verdana"/>
          <w:color w:val="333333"/>
        </w:rPr>
        <w:lastRenderedPageBreak/>
        <w:t>*</w:t>
      </w:r>
      <w:r>
        <w:rPr>
          <w:rFonts w:ascii="Verdana" w:hAnsi="Verdana"/>
          <w:color w:val="333333"/>
        </w:rPr>
        <w:t>“Ai fini della determinazione del diritto e della misura del trattamento pensionistico, nei casi di lavoratori che risultino, alla data del 22 giugno 2013, cessati per mobilità, oppure titolari di prestazioni straordinarie a carico dei fondi di solidarietà o autorizzati alla prosecuzione volontaria della contribuzione, restano validi ed efficaci i provvedimenti di certificazione di esposizione all’amianto rilasciati dall’Istituto Nazionale per l’Assicurazione contro gli Infortuni sul Lavoro ai fini del conseguimento del benefici di cui all’art. 13, comma 8, della legge 27 marzo 1992, n. 257 (per i lavoratori che siano stati esposti all’amianto per un periodo superiore a dieci anni, l’intero periodo lavorativo soggetto all’assicurazione obbligatoria contro le malattie professionali derivanti dall’esposizione all’amianto, gestita dall’INAIL, è moltiplicato, ai fini delle prestazioni pensionistiche, per il coefficiente di 1,5)”.</w:t>
      </w:r>
    </w:p>
    <w:tbl>
      <w:tblPr>
        <w:tblW w:w="5000" w:type="pct"/>
        <w:tblCellMar>
          <w:top w:w="15" w:type="dxa"/>
          <w:left w:w="15" w:type="dxa"/>
          <w:bottom w:w="15" w:type="dxa"/>
          <w:right w:w="15" w:type="dxa"/>
        </w:tblCellMar>
        <w:tblLook w:val="04A0" w:firstRow="1" w:lastRow="0" w:firstColumn="1" w:lastColumn="0" w:noHBand="0" w:noVBand="1"/>
      </w:tblPr>
      <w:tblGrid>
        <w:gridCol w:w="3630"/>
        <w:gridCol w:w="6038"/>
      </w:tblGrid>
      <w:tr w:rsidR="00395EEF" w:rsidRPr="00395EEF" w14:paraId="00840830" w14:textId="77777777" w:rsidTr="00395EEF">
        <w:tc>
          <w:tcPr>
            <w:tcW w:w="1650" w:type="pct"/>
            <w:hideMark/>
          </w:tcPr>
          <w:p w14:paraId="634E2754" w14:textId="77777777" w:rsidR="00395EEF" w:rsidRPr="00395EEF" w:rsidRDefault="00395EEF" w:rsidP="00395EEF">
            <w:pPr>
              <w:jc w:val="center"/>
              <w:rPr>
                <w:rFonts w:ascii="Verdana" w:hAnsi="Verdana"/>
                <w:sz w:val="20"/>
                <w:szCs w:val="20"/>
                <w:lang w:eastAsia="it-IT"/>
              </w:rPr>
            </w:pPr>
            <w:r w:rsidRPr="00395EEF">
              <w:rPr>
                <w:rFonts w:ascii="Verdana" w:hAnsi="Verdana"/>
                <w:noProof/>
                <w:sz w:val="20"/>
                <w:szCs w:val="20"/>
                <w:lang w:val="en-US"/>
              </w:rPr>
              <w:drawing>
                <wp:inline distT="0" distB="0" distL="0" distR="0" wp14:anchorId="588C867B" wp14:editId="220FFAB9">
                  <wp:extent cx="2286000" cy="571500"/>
                  <wp:effectExtent l="0" t="0" r="0" b="0"/>
                  <wp:docPr id="2" name="img_inps_servizi" descr="Inps 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inps_servizi" descr="Inps Serviz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571500"/>
                          </a:xfrm>
                          <a:prstGeom prst="rect">
                            <a:avLst/>
                          </a:prstGeom>
                          <a:noFill/>
                          <a:ln>
                            <a:noFill/>
                          </a:ln>
                        </pic:spPr>
                      </pic:pic>
                    </a:graphicData>
                  </a:graphic>
                </wp:inline>
              </w:drawing>
            </w:r>
          </w:p>
        </w:tc>
        <w:tc>
          <w:tcPr>
            <w:tcW w:w="0" w:type="auto"/>
            <w:hideMark/>
          </w:tcPr>
          <w:p w14:paraId="4847AB50" w14:textId="77777777" w:rsidR="00395EEF" w:rsidRPr="00395EEF" w:rsidRDefault="00395EEF" w:rsidP="00395EEF">
            <w:pPr>
              <w:jc w:val="center"/>
              <w:rPr>
                <w:rFonts w:ascii="Verdana" w:hAnsi="Verdana"/>
                <w:sz w:val="20"/>
                <w:szCs w:val="20"/>
                <w:lang w:eastAsia="it-IT"/>
              </w:rPr>
            </w:pPr>
            <w:r w:rsidRPr="00395EEF">
              <w:rPr>
                <w:rFonts w:ascii="Verdana" w:hAnsi="Verdana"/>
                <w:noProof/>
                <w:sz w:val="20"/>
                <w:szCs w:val="20"/>
                <w:lang w:val="en-US"/>
              </w:rPr>
              <w:drawing>
                <wp:inline distT="0" distB="0" distL="0" distR="0" wp14:anchorId="5A123D1C" wp14:editId="08BF33F7">
                  <wp:extent cx="1234440" cy="617220"/>
                  <wp:effectExtent l="0" t="0" r="0" b="0"/>
                  <wp:docPr id="3" name="img_bada_2" descr="Banche dati documen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bada_2" descr="Banche dati documenta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617220"/>
                          </a:xfrm>
                          <a:prstGeom prst="rect">
                            <a:avLst/>
                          </a:prstGeom>
                          <a:noFill/>
                          <a:ln>
                            <a:noFill/>
                          </a:ln>
                        </pic:spPr>
                      </pic:pic>
                    </a:graphicData>
                  </a:graphic>
                </wp:inline>
              </w:drawing>
            </w:r>
          </w:p>
        </w:tc>
      </w:tr>
      <w:tr w:rsidR="00395EEF" w:rsidRPr="00395EEF" w14:paraId="3F721791" w14:textId="77777777" w:rsidTr="00395EEF">
        <w:tc>
          <w:tcPr>
            <w:tcW w:w="0" w:type="auto"/>
            <w:gridSpan w:val="2"/>
            <w:hideMark/>
          </w:tcPr>
          <w:p w14:paraId="643AD108" w14:textId="77777777" w:rsidR="00395EEF" w:rsidRPr="00395EEF" w:rsidRDefault="00FC54B9" w:rsidP="00395EEF">
            <w:pPr>
              <w:rPr>
                <w:rFonts w:ascii="Verdana" w:hAnsi="Verdana"/>
                <w:sz w:val="20"/>
                <w:szCs w:val="20"/>
                <w:lang w:eastAsia="it-IT"/>
              </w:rPr>
            </w:pPr>
            <w:r>
              <w:rPr>
                <w:rFonts w:ascii="Verdana" w:hAnsi="Verdana"/>
                <w:sz w:val="20"/>
                <w:szCs w:val="20"/>
                <w:lang w:eastAsia="it-IT"/>
              </w:rPr>
              <w:pict w14:anchorId="2A394793">
                <v:rect id="_x0000_i1025" style="width:457.8pt;height:1.5pt" o:hrpct="950" o:hralign="center" o:hrstd="t" o:hr="t" fillcolor="#a0a0a0" stroked="f"/>
              </w:pict>
            </w:r>
          </w:p>
        </w:tc>
      </w:tr>
      <w:tr w:rsidR="00395EEF" w:rsidRPr="00395EEF" w14:paraId="4F651389" w14:textId="77777777" w:rsidTr="00395EEF">
        <w:tc>
          <w:tcPr>
            <w:tcW w:w="0" w:type="auto"/>
            <w:gridSpan w:val="2"/>
            <w:shd w:val="clear" w:color="auto" w:fill="000080"/>
            <w:hideMark/>
          </w:tcPr>
          <w:p w14:paraId="16FEFE0E" w14:textId="77777777" w:rsidR="00395EEF" w:rsidRPr="00395EEF" w:rsidRDefault="00395EEF" w:rsidP="00395EEF">
            <w:pPr>
              <w:jc w:val="center"/>
              <w:rPr>
                <w:rFonts w:ascii="Verdana" w:hAnsi="Verdana"/>
                <w:sz w:val="20"/>
                <w:szCs w:val="20"/>
                <w:lang w:eastAsia="it-IT"/>
              </w:rPr>
            </w:pPr>
            <w:r w:rsidRPr="00395EEF">
              <w:rPr>
                <w:b/>
                <w:bCs/>
                <w:color w:val="FFFFFF"/>
                <w:sz w:val="20"/>
                <w:szCs w:val="20"/>
                <w:lang w:eastAsia="it-IT"/>
              </w:rPr>
              <w:t xml:space="preserve">Circolare numero 164 del 29-11-2013 </w:t>
            </w:r>
          </w:p>
        </w:tc>
      </w:tr>
    </w:tbl>
    <w:p w14:paraId="73AB4E4D" w14:textId="77777777" w:rsidR="00395EEF" w:rsidRPr="00395EEF" w:rsidRDefault="00395EEF" w:rsidP="00395EEF">
      <w:pPr>
        <w:rPr>
          <w:rFonts w:ascii="Verdana" w:hAnsi="Verdana"/>
          <w:sz w:val="22"/>
          <w:szCs w:val="22"/>
          <w:lang w:eastAsia="it-IT"/>
        </w:rPr>
      </w:pPr>
    </w:p>
    <w:p w14:paraId="0DE7D085" w14:textId="77777777" w:rsidR="00395EEF" w:rsidRPr="00395EEF" w:rsidRDefault="00395EEF" w:rsidP="00395EEF">
      <w:pPr>
        <w:jc w:val="center"/>
        <w:rPr>
          <w:rFonts w:ascii="Verdana" w:hAnsi="Verdana"/>
          <w:sz w:val="22"/>
          <w:szCs w:val="22"/>
          <w:lang w:eastAsia="it-IT"/>
        </w:rPr>
      </w:pPr>
      <w:r w:rsidRPr="00395EEF">
        <w:rPr>
          <w:rFonts w:ascii="Verdana" w:hAnsi="Verdana"/>
          <w:noProof/>
          <w:color w:val="0000FF"/>
          <w:sz w:val="22"/>
          <w:szCs w:val="22"/>
          <w:lang w:val="en-US"/>
        </w:rPr>
        <w:drawing>
          <wp:inline distT="0" distB="0" distL="0" distR="0" wp14:anchorId="727B98C2" wp14:editId="0AA039D3">
            <wp:extent cx="1402080" cy="373380"/>
            <wp:effectExtent l="0" t="0" r="7620" b="7620"/>
            <wp:docPr id="4" name="img_download_pdf" descr="Attivando questo Link si puo' ricevere il documento in formato PD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ownload_pdf" descr="Attivando questo Link si puo' ricevere il documento in formato PD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37338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9668"/>
      </w:tblGrid>
      <w:tr w:rsidR="00395EEF" w:rsidRPr="00395EEF" w14:paraId="78FFA48F" w14:textId="77777777" w:rsidTr="00395EEF">
        <w:tc>
          <w:tcPr>
            <w:tcW w:w="0" w:type="auto"/>
            <w:hideMark/>
          </w:tcPr>
          <w:p w14:paraId="11372B34" w14:textId="77777777" w:rsidR="00395EEF" w:rsidRPr="00395EEF" w:rsidRDefault="00395EEF" w:rsidP="00395EEF">
            <w:pPr>
              <w:rPr>
                <w:rFonts w:ascii="Verdana" w:hAnsi="Verdana"/>
                <w:sz w:val="20"/>
                <w:szCs w:val="20"/>
                <w:lang w:eastAsia="it-IT"/>
              </w:rPr>
            </w:pPr>
            <w:r w:rsidRPr="00395EEF">
              <w:rPr>
                <w:rFonts w:ascii="Verdana" w:hAnsi="Verdana"/>
                <w:i/>
                <w:iCs/>
                <w:sz w:val="22"/>
                <w:szCs w:val="22"/>
                <w:lang w:eastAsia="it-IT"/>
              </w:rPr>
              <w:t xml:space="preserve">Direzione Centrale Pensioni </w:t>
            </w:r>
            <w:r w:rsidRPr="00395EEF">
              <w:rPr>
                <w:rFonts w:ascii="Verdana" w:hAnsi="Verdana"/>
                <w:i/>
                <w:iCs/>
                <w:sz w:val="22"/>
                <w:szCs w:val="22"/>
                <w:lang w:eastAsia="it-IT"/>
              </w:rPr>
              <w:br/>
              <w:t xml:space="preserve">Direzione Centrale Prestazioni a Sostegno del Reddito </w:t>
            </w:r>
          </w:p>
          <w:tbl>
            <w:tblPr>
              <w:tblW w:w="5000" w:type="pct"/>
              <w:tblCellMar>
                <w:left w:w="0" w:type="dxa"/>
                <w:right w:w="0" w:type="dxa"/>
              </w:tblCellMar>
              <w:tblLook w:val="04A0" w:firstRow="1" w:lastRow="0" w:firstColumn="1" w:lastColumn="0" w:noHBand="0" w:noVBand="1"/>
            </w:tblPr>
            <w:tblGrid>
              <w:gridCol w:w="4819"/>
              <w:gridCol w:w="4819"/>
            </w:tblGrid>
            <w:tr w:rsidR="00395EEF" w:rsidRPr="00395EEF" w14:paraId="430299F5" w14:textId="77777777" w:rsidTr="00395EEF">
              <w:tc>
                <w:tcPr>
                  <w:tcW w:w="2500" w:type="pct"/>
                  <w:hideMark/>
                </w:tcPr>
                <w:p w14:paraId="0C8115CD" w14:textId="77777777" w:rsidR="00395EEF" w:rsidRPr="00395EEF" w:rsidRDefault="00395EEF" w:rsidP="00395EEF">
                  <w:pPr>
                    <w:rPr>
                      <w:rFonts w:ascii="Verdana" w:hAnsi="Verdana"/>
                      <w:b/>
                      <w:bCs/>
                      <w:sz w:val="22"/>
                      <w:szCs w:val="22"/>
                      <w:lang w:eastAsia="it-IT"/>
                    </w:rPr>
                  </w:pPr>
                  <w:r w:rsidRPr="00395EEF">
                    <w:rPr>
                      <w:rFonts w:ascii="Verdana" w:hAnsi="Verdana"/>
                      <w:b/>
                      <w:bCs/>
                      <w:sz w:val="22"/>
                      <w:szCs w:val="22"/>
                      <w:lang w:eastAsia="it-IT"/>
                    </w:rPr>
                    <w:t xml:space="preserve">Roma, 29/11/2013 </w:t>
                  </w:r>
                </w:p>
                <w:p w14:paraId="4F2E1DE2" w14:textId="77777777" w:rsidR="00395EEF" w:rsidRPr="00395EEF" w:rsidRDefault="00395EEF" w:rsidP="00395EEF">
                  <w:pPr>
                    <w:rPr>
                      <w:rFonts w:ascii="Verdana" w:hAnsi="Verdana"/>
                      <w:b/>
                      <w:bCs/>
                      <w:sz w:val="22"/>
                      <w:szCs w:val="22"/>
                      <w:lang w:eastAsia="it-IT"/>
                    </w:rPr>
                  </w:pPr>
                  <w:r w:rsidRPr="00395EEF">
                    <w:rPr>
                      <w:rFonts w:ascii="Verdana" w:hAnsi="Verdana"/>
                      <w:b/>
                      <w:bCs/>
                      <w:sz w:val="22"/>
                      <w:szCs w:val="22"/>
                      <w:lang w:eastAsia="it-IT"/>
                    </w:rPr>
                    <w:t xml:space="preserve">Circolare n. 164 </w:t>
                  </w:r>
                </w:p>
              </w:tc>
              <w:tc>
                <w:tcPr>
                  <w:tcW w:w="2500" w:type="pct"/>
                  <w:hideMark/>
                </w:tcPr>
                <w:p w14:paraId="373D3AB9" w14:textId="77777777" w:rsidR="00395EEF" w:rsidRPr="00395EEF" w:rsidRDefault="00395EEF" w:rsidP="00395EEF">
                  <w:pPr>
                    <w:rPr>
                      <w:rFonts w:ascii="Verdana" w:hAnsi="Verdana"/>
                      <w:i/>
                      <w:iCs/>
                      <w:sz w:val="22"/>
                      <w:szCs w:val="22"/>
                      <w:lang w:eastAsia="it-IT"/>
                    </w:rPr>
                  </w:pPr>
                  <w:r w:rsidRPr="00395EEF">
                    <w:rPr>
                      <w:rFonts w:ascii="Verdana" w:hAnsi="Verdana"/>
                      <w:i/>
                      <w:iCs/>
                      <w:sz w:val="22"/>
                      <w:szCs w:val="22"/>
                      <w:lang w:eastAsia="it-IT"/>
                    </w:rPr>
                    <w:t xml:space="preserve">Ai Dirigenti centrali e periferici </w:t>
                  </w:r>
                  <w:r w:rsidRPr="00395EEF">
                    <w:rPr>
                      <w:rFonts w:ascii="Verdana" w:hAnsi="Verdana"/>
                      <w:i/>
                      <w:iCs/>
                      <w:sz w:val="22"/>
                      <w:szCs w:val="22"/>
                      <w:lang w:eastAsia="it-IT"/>
                    </w:rPr>
                    <w:br/>
                    <w:t xml:space="preserve">Ai Responsabili delle Agenzie </w:t>
                  </w:r>
                  <w:r w:rsidRPr="00395EEF">
                    <w:rPr>
                      <w:rFonts w:ascii="Verdana" w:hAnsi="Verdana"/>
                      <w:i/>
                      <w:iCs/>
                      <w:sz w:val="22"/>
                      <w:szCs w:val="22"/>
                      <w:lang w:eastAsia="it-IT"/>
                    </w:rPr>
                    <w:br/>
                    <w:t xml:space="preserve">Ai Coordinatori generali, centrali e </w:t>
                  </w:r>
                  <w:r w:rsidRPr="00395EEF">
                    <w:rPr>
                      <w:rFonts w:ascii="Verdana" w:hAnsi="Verdana"/>
                      <w:i/>
                      <w:iCs/>
                      <w:sz w:val="22"/>
                      <w:szCs w:val="22"/>
                      <w:lang w:eastAsia="it-IT"/>
                    </w:rPr>
                    <w:br/>
                    <w:t xml:space="preserve">   periferici dei Rami professionali </w:t>
                  </w:r>
                  <w:r w:rsidRPr="00395EEF">
                    <w:rPr>
                      <w:rFonts w:ascii="Verdana" w:hAnsi="Verdana"/>
                      <w:i/>
                      <w:iCs/>
                      <w:sz w:val="22"/>
                      <w:szCs w:val="22"/>
                      <w:lang w:eastAsia="it-IT"/>
                    </w:rPr>
                    <w:br/>
                    <w:t xml:space="preserve">Al Coordinatore generale Medico legale e </w:t>
                  </w:r>
                  <w:r w:rsidRPr="00395EEF">
                    <w:rPr>
                      <w:rFonts w:ascii="Verdana" w:hAnsi="Verdana"/>
                      <w:i/>
                      <w:iCs/>
                      <w:sz w:val="22"/>
                      <w:szCs w:val="22"/>
                      <w:lang w:eastAsia="it-IT"/>
                    </w:rPr>
                    <w:br/>
                    <w:t xml:space="preserve">   Dirigenti Medici </w:t>
                  </w:r>
                  <w:r w:rsidRPr="00395EEF">
                    <w:rPr>
                      <w:rFonts w:ascii="Verdana" w:hAnsi="Verdana"/>
                      <w:i/>
                      <w:iCs/>
                      <w:sz w:val="22"/>
                      <w:szCs w:val="22"/>
                      <w:lang w:eastAsia="it-IT"/>
                    </w:rPr>
                    <w:br/>
                  </w:r>
                  <w:r w:rsidRPr="00395EEF">
                    <w:rPr>
                      <w:rFonts w:ascii="Verdana" w:hAnsi="Verdana"/>
                      <w:i/>
                      <w:iCs/>
                      <w:sz w:val="22"/>
                      <w:szCs w:val="22"/>
                      <w:lang w:eastAsia="it-IT"/>
                    </w:rPr>
                    <w:br/>
                  </w:r>
                  <w:r w:rsidRPr="00395EEF">
                    <w:rPr>
                      <w:rFonts w:ascii="Verdana" w:hAnsi="Verdana"/>
                      <w:sz w:val="22"/>
                      <w:szCs w:val="22"/>
                      <w:lang w:eastAsia="it-IT"/>
                    </w:rPr>
                    <w:t>e, per conoscenza,</w:t>
                  </w:r>
                  <w:r w:rsidRPr="00395EEF">
                    <w:rPr>
                      <w:rFonts w:ascii="Verdana" w:hAnsi="Verdana"/>
                      <w:i/>
                      <w:iCs/>
                      <w:sz w:val="22"/>
                      <w:szCs w:val="22"/>
                      <w:lang w:eastAsia="it-IT"/>
                    </w:rPr>
                    <w:t xml:space="preserve"> </w:t>
                  </w:r>
                  <w:r w:rsidRPr="00395EEF">
                    <w:rPr>
                      <w:rFonts w:ascii="Verdana" w:hAnsi="Verdana"/>
                      <w:i/>
                      <w:iCs/>
                      <w:sz w:val="22"/>
                      <w:szCs w:val="22"/>
                      <w:lang w:eastAsia="it-IT"/>
                    </w:rPr>
                    <w:br/>
                  </w:r>
                  <w:r w:rsidRPr="00395EEF">
                    <w:rPr>
                      <w:rFonts w:ascii="Verdana" w:hAnsi="Verdana"/>
                      <w:i/>
                      <w:iCs/>
                      <w:sz w:val="22"/>
                      <w:szCs w:val="22"/>
                      <w:lang w:eastAsia="it-IT"/>
                    </w:rPr>
                    <w:br/>
                    <w:t xml:space="preserve">Al Presidente </w:t>
                  </w:r>
                  <w:r w:rsidRPr="00395EEF">
                    <w:rPr>
                      <w:rFonts w:ascii="Verdana" w:hAnsi="Verdana"/>
                      <w:i/>
                      <w:iCs/>
                      <w:sz w:val="22"/>
                      <w:szCs w:val="22"/>
                      <w:lang w:eastAsia="it-IT"/>
                    </w:rPr>
                    <w:br/>
                    <w:t xml:space="preserve">Al Presidente e ai Componenti del Consiglio di Indirizzo e Vigilanza </w:t>
                  </w:r>
                  <w:r w:rsidRPr="00395EEF">
                    <w:rPr>
                      <w:rFonts w:ascii="Verdana" w:hAnsi="Verdana"/>
                      <w:i/>
                      <w:iCs/>
                      <w:sz w:val="22"/>
                      <w:szCs w:val="22"/>
                      <w:lang w:eastAsia="it-IT"/>
                    </w:rPr>
                    <w:br/>
                    <w:t xml:space="preserve">Al Presidente e ai Componenti del Collegio dei Sindaci </w:t>
                  </w:r>
                  <w:r w:rsidRPr="00395EEF">
                    <w:rPr>
                      <w:rFonts w:ascii="Verdana" w:hAnsi="Verdana"/>
                      <w:i/>
                      <w:iCs/>
                      <w:sz w:val="22"/>
                      <w:szCs w:val="22"/>
                      <w:lang w:eastAsia="it-IT"/>
                    </w:rPr>
                    <w:br/>
                    <w:t xml:space="preserve">Al Magistrato della Corte dei Conti delegato all'esercizio del controllo </w:t>
                  </w:r>
                  <w:r w:rsidRPr="00395EEF">
                    <w:rPr>
                      <w:rFonts w:ascii="Verdana" w:hAnsi="Verdana"/>
                      <w:i/>
                      <w:iCs/>
                      <w:sz w:val="22"/>
                      <w:szCs w:val="22"/>
                      <w:lang w:eastAsia="it-IT"/>
                    </w:rPr>
                    <w:br/>
                    <w:t xml:space="preserve">Ai Presidenti dei Comitati amministratori </w:t>
                  </w:r>
                  <w:r w:rsidRPr="00395EEF">
                    <w:rPr>
                      <w:rFonts w:ascii="Verdana" w:hAnsi="Verdana"/>
                      <w:i/>
                      <w:iCs/>
                      <w:sz w:val="22"/>
                      <w:szCs w:val="22"/>
                      <w:lang w:eastAsia="it-IT"/>
                    </w:rPr>
                    <w:br/>
                    <w:t xml:space="preserve">   di fondi, gestioni e casse </w:t>
                  </w:r>
                  <w:r w:rsidRPr="00395EEF">
                    <w:rPr>
                      <w:rFonts w:ascii="Verdana" w:hAnsi="Verdana"/>
                      <w:i/>
                      <w:iCs/>
                      <w:sz w:val="22"/>
                      <w:szCs w:val="22"/>
                      <w:lang w:eastAsia="it-IT"/>
                    </w:rPr>
                    <w:br/>
                    <w:t xml:space="preserve">Al Presidente della Commissione centrale </w:t>
                  </w:r>
                  <w:r w:rsidRPr="00395EEF">
                    <w:rPr>
                      <w:rFonts w:ascii="Verdana" w:hAnsi="Verdana"/>
                      <w:i/>
                      <w:iCs/>
                      <w:sz w:val="22"/>
                      <w:szCs w:val="22"/>
                      <w:lang w:eastAsia="it-IT"/>
                    </w:rPr>
                    <w:br/>
                    <w:t xml:space="preserve">   per l'accertamento e la riscossione </w:t>
                  </w:r>
                  <w:r w:rsidRPr="00395EEF">
                    <w:rPr>
                      <w:rFonts w:ascii="Verdana" w:hAnsi="Verdana"/>
                      <w:i/>
                      <w:iCs/>
                      <w:sz w:val="22"/>
                      <w:szCs w:val="22"/>
                      <w:lang w:eastAsia="it-IT"/>
                    </w:rPr>
                    <w:br/>
                    <w:t xml:space="preserve">   dei contributi agricoli unificati </w:t>
                  </w:r>
                  <w:r w:rsidRPr="00395EEF">
                    <w:rPr>
                      <w:rFonts w:ascii="Verdana" w:hAnsi="Verdana"/>
                      <w:i/>
                      <w:iCs/>
                      <w:sz w:val="22"/>
                      <w:szCs w:val="22"/>
                      <w:lang w:eastAsia="it-IT"/>
                    </w:rPr>
                    <w:br/>
                    <w:t xml:space="preserve">Ai Presidenti dei Comitati regionali </w:t>
                  </w:r>
                  <w:r w:rsidRPr="00395EEF">
                    <w:rPr>
                      <w:rFonts w:ascii="Verdana" w:hAnsi="Verdana"/>
                      <w:i/>
                      <w:iCs/>
                      <w:sz w:val="22"/>
                      <w:szCs w:val="22"/>
                      <w:lang w:eastAsia="it-IT"/>
                    </w:rPr>
                    <w:br/>
                    <w:t xml:space="preserve">Ai Presidenti dei Comitati provinciali </w:t>
                  </w:r>
                </w:p>
              </w:tc>
            </w:tr>
            <w:tr w:rsidR="00395EEF" w:rsidRPr="00395EEF" w14:paraId="66F176D3" w14:textId="77777777" w:rsidTr="00395EEF">
              <w:tc>
                <w:tcPr>
                  <w:tcW w:w="2500" w:type="pct"/>
                  <w:hideMark/>
                </w:tcPr>
                <w:p w14:paraId="55D9222C" w14:textId="77777777" w:rsidR="00395EEF" w:rsidRPr="00395EEF" w:rsidRDefault="00395EEF" w:rsidP="00395EEF">
                  <w:pPr>
                    <w:rPr>
                      <w:rFonts w:ascii="Verdana" w:hAnsi="Verdana"/>
                      <w:sz w:val="20"/>
                      <w:szCs w:val="20"/>
                      <w:lang w:eastAsia="it-IT"/>
                    </w:rPr>
                  </w:pPr>
                </w:p>
              </w:tc>
              <w:tc>
                <w:tcPr>
                  <w:tcW w:w="2500" w:type="pct"/>
                  <w:hideMark/>
                </w:tcPr>
                <w:p w14:paraId="0600C77B" w14:textId="77777777" w:rsidR="00395EEF" w:rsidRPr="00395EEF" w:rsidRDefault="00395EEF" w:rsidP="00395EEF">
                  <w:pPr>
                    <w:rPr>
                      <w:rFonts w:ascii="Verdana" w:hAnsi="Verdana"/>
                      <w:sz w:val="20"/>
                      <w:szCs w:val="20"/>
                      <w:lang w:eastAsia="it-IT"/>
                    </w:rPr>
                  </w:pPr>
                </w:p>
              </w:tc>
            </w:tr>
          </w:tbl>
          <w:p w14:paraId="58685EE2" w14:textId="77777777" w:rsidR="00395EEF" w:rsidRPr="00395EEF" w:rsidRDefault="00395EEF" w:rsidP="00395EEF">
            <w:pPr>
              <w:jc w:val="both"/>
              <w:rPr>
                <w:rFonts w:ascii="Verdana" w:hAnsi="Verdana"/>
                <w:vanish/>
                <w:sz w:val="22"/>
                <w:szCs w:val="22"/>
                <w:lang w:eastAsia="it-IT"/>
              </w:rPr>
            </w:pPr>
          </w:p>
          <w:tbl>
            <w:tblPr>
              <w:tblW w:w="5000" w:type="pct"/>
              <w:tblCellMar>
                <w:left w:w="0" w:type="dxa"/>
                <w:right w:w="0" w:type="dxa"/>
              </w:tblCellMar>
              <w:tblLook w:val="04A0" w:firstRow="1" w:lastRow="0" w:firstColumn="1" w:lastColumn="0" w:noHBand="0" w:noVBand="1"/>
            </w:tblPr>
            <w:tblGrid>
              <w:gridCol w:w="1950"/>
              <w:gridCol w:w="7688"/>
            </w:tblGrid>
            <w:tr w:rsidR="00395EEF" w:rsidRPr="00395EEF" w14:paraId="207ED573" w14:textId="77777777" w:rsidTr="00FC54B9">
              <w:trPr>
                <w:trHeight w:val="2836"/>
              </w:trPr>
              <w:tc>
                <w:tcPr>
                  <w:tcW w:w="1950" w:type="dxa"/>
                  <w:tcMar>
                    <w:top w:w="0" w:type="dxa"/>
                    <w:left w:w="0" w:type="dxa"/>
                    <w:bottom w:w="0" w:type="dxa"/>
                    <w:right w:w="75" w:type="dxa"/>
                  </w:tcMar>
                  <w:hideMark/>
                </w:tcPr>
                <w:p w14:paraId="370CE2F6" w14:textId="77777777" w:rsidR="00FC54B9" w:rsidRDefault="00FC54B9" w:rsidP="00395EEF">
                  <w:pPr>
                    <w:rPr>
                      <w:rFonts w:ascii="Verdana" w:hAnsi="Verdana"/>
                      <w:sz w:val="22"/>
                      <w:szCs w:val="22"/>
                      <w:lang w:eastAsia="it-IT"/>
                    </w:rPr>
                  </w:pPr>
                  <w:bookmarkStart w:id="0" w:name="_GoBack" w:colFirst="0" w:colLast="1"/>
                </w:p>
                <w:p w14:paraId="046BCF90" w14:textId="77777777" w:rsidR="00FC54B9" w:rsidRDefault="00FC54B9" w:rsidP="00395EEF">
                  <w:pPr>
                    <w:rPr>
                      <w:rFonts w:ascii="Verdana" w:hAnsi="Verdana"/>
                      <w:sz w:val="22"/>
                      <w:szCs w:val="22"/>
                      <w:lang w:eastAsia="it-IT"/>
                    </w:rPr>
                  </w:pPr>
                </w:p>
                <w:p w14:paraId="370672C6" w14:textId="77777777" w:rsidR="00FC54B9" w:rsidRDefault="00FC54B9" w:rsidP="00395EEF">
                  <w:pPr>
                    <w:rPr>
                      <w:rFonts w:ascii="Verdana" w:hAnsi="Verdana"/>
                      <w:sz w:val="22"/>
                      <w:szCs w:val="22"/>
                      <w:lang w:eastAsia="it-IT"/>
                    </w:rPr>
                  </w:pPr>
                </w:p>
                <w:p w14:paraId="0D6DD6E5" w14:textId="77777777" w:rsidR="00395EEF" w:rsidRPr="00395EEF" w:rsidRDefault="00395EEF" w:rsidP="00395EEF">
                  <w:pPr>
                    <w:rPr>
                      <w:rFonts w:ascii="Verdana" w:hAnsi="Verdana"/>
                      <w:sz w:val="22"/>
                      <w:szCs w:val="22"/>
                      <w:lang w:eastAsia="it-IT"/>
                    </w:rPr>
                  </w:pPr>
                  <w:r w:rsidRPr="00395EEF">
                    <w:rPr>
                      <w:rFonts w:ascii="Verdana" w:hAnsi="Verdana"/>
                      <w:sz w:val="22"/>
                      <w:szCs w:val="22"/>
                      <w:lang w:eastAsia="it-IT"/>
                    </w:rPr>
                    <w:t xml:space="preserve">OGGETTO: </w:t>
                  </w:r>
                </w:p>
              </w:tc>
              <w:tc>
                <w:tcPr>
                  <w:tcW w:w="0" w:type="auto"/>
                  <w:hideMark/>
                </w:tcPr>
                <w:p w14:paraId="49D9D52D" w14:textId="77777777" w:rsidR="00FC54B9" w:rsidRDefault="00FC54B9" w:rsidP="00395EEF">
                  <w:pPr>
                    <w:jc w:val="both"/>
                    <w:rPr>
                      <w:b/>
                      <w:bCs/>
                      <w:lang w:eastAsia="it-IT"/>
                    </w:rPr>
                  </w:pPr>
                </w:p>
                <w:p w14:paraId="44D3EBD9" w14:textId="77777777" w:rsidR="00FC54B9" w:rsidRDefault="00FC54B9" w:rsidP="00395EEF">
                  <w:pPr>
                    <w:jc w:val="both"/>
                    <w:rPr>
                      <w:b/>
                      <w:bCs/>
                      <w:lang w:eastAsia="it-IT"/>
                    </w:rPr>
                  </w:pPr>
                </w:p>
                <w:p w14:paraId="110BCF22" w14:textId="77777777" w:rsidR="00FC54B9" w:rsidRDefault="00FC54B9" w:rsidP="00395EEF">
                  <w:pPr>
                    <w:jc w:val="both"/>
                    <w:rPr>
                      <w:b/>
                      <w:bCs/>
                      <w:lang w:eastAsia="it-IT"/>
                    </w:rPr>
                  </w:pPr>
                </w:p>
                <w:p w14:paraId="0D160307" w14:textId="77777777" w:rsidR="00395EEF" w:rsidRPr="00395EEF" w:rsidRDefault="00395EEF" w:rsidP="00395EEF">
                  <w:pPr>
                    <w:jc w:val="both"/>
                    <w:rPr>
                      <w:rFonts w:ascii="Verdana" w:hAnsi="Verdana"/>
                      <w:b/>
                      <w:bCs/>
                      <w:sz w:val="22"/>
                      <w:szCs w:val="22"/>
                      <w:lang w:eastAsia="it-IT"/>
                    </w:rPr>
                  </w:pPr>
                  <w:r w:rsidRPr="00395EEF">
                    <w:rPr>
                      <w:b/>
                      <w:bCs/>
                      <w:lang w:eastAsia="it-IT"/>
                    </w:rPr>
                    <w:t>articolo 42–</w:t>
                  </w:r>
                  <w:r w:rsidRPr="00395EEF">
                    <w:rPr>
                      <w:rFonts w:ascii="Verdana" w:hAnsi="Verdana"/>
                      <w:b/>
                      <w:bCs/>
                      <w:i/>
                      <w:iCs/>
                      <w:sz w:val="22"/>
                      <w:szCs w:val="22"/>
                      <w:lang w:eastAsia="it-IT"/>
                    </w:rPr>
                    <w:t>quater</w:t>
                  </w:r>
                  <w:r w:rsidRPr="00395EEF">
                    <w:rPr>
                      <w:b/>
                      <w:bCs/>
                      <w:lang w:eastAsia="it-IT"/>
                    </w:rPr>
                    <w:t xml:space="preserve"> della legge 9 agosto 2013, n. 98, di conversione, con modificazioni</w:t>
                  </w:r>
                  <w:r w:rsidRPr="00395EEF">
                    <w:rPr>
                      <w:rFonts w:ascii="Verdana" w:hAnsi="Verdana"/>
                      <w:b/>
                      <w:bCs/>
                      <w:sz w:val="22"/>
                      <w:szCs w:val="22"/>
                      <w:lang w:eastAsia="it-IT"/>
                    </w:rPr>
                    <w:t xml:space="preserve">, </w:t>
                  </w:r>
                  <w:r w:rsidRPr="00395EEF">
                    <w:rPr>
                      <w:b/>
                      <w:bCs/>
                      <w:lang w:eastAsia="it-IT"/>
                    </w:rPr>
                    <w:t>del decreto legge n. 69 del 14 giugno 2013. Salvaguardia della validità ed efficacia delle certificazioni di esposizione all’amianto rilasciate dall’INAIL, ai fini del</w:t>
                  </w:r>
                  <w:r w:rsidRPr="00395EEF">
                    <w:rPr>
                      <w:rFonts w:ascii="Verdana" w:hAnsi="Verdana"/>
                      <w:b/>
                      <w:bCs/>
                      <w:i/>
                      <w:iCs/>
                      <w:sz w:val="22"/>
                      <w:szCs w:val="22"/>
                      <w:lang w:eastAsia="it-IT"/>
                    </w:rPr>
                    <w:t xml:space="preserve"> </w:t>
                  </w:r>
                  <w:r w:rsidRPr="00395EEF">
                    <w:rPr>
                      <w:b/>
                      <w:bCs/>
                      <w:lang w:eastAsia="it-IT"/>
                    </w:rPr>
                    <w:t>conseguimento del beneficio di cui all’art. 13, comma 8, della legge 27 marzo 1992, n. 257 e successive modificazioni, per lavoro svolto con esposizione all’amianto.</w:t>
                  </w:r>
                </w:p>
              </w:tc>
            </w:tr>
            <w:bookmarkEnd w:id="0"/>
            <w:tr w:rsidR="00395EEF" w:rsidRPr="00395EEF" w14:paraId="407FC271" w14:textId="77777777" w:rsidTr="00FC54B9">
              <w:tc>
                <w:tcPr>
                  <w:tcW w:w="1950" w:type="dxa"/>
                  <w:tcMar>
                    <w:top w:w="0" w:type="dxa"/>
                    <w:left w:w="0" w:type="dxa"/>
                    <w:bottom w:w="0" w:type="dxa"/>
                    <w:right w:w="75" w:type="dxa"/>
                  </w:tcMar>
                  <w:hideMark/>
                </w:tcPr>
                <w:p w14:paraId="3CCF4F34" w14:textId="77777777" w:rsidR="00395EEF" w:rsidRPr="00395EEF" w:rsidRDefault="00395EEF" w:rsidP="00395EEF">
                  <w:pPr>
                    <w:rPr>
                      <w:rFonts w:ascii="Verdana" w:hAnsi="Verdana"/>
                      <w:b/>
                      <w:bCs/>
                      <w:sz w:val="22"/>
                      <w:szCs w:val="22"/>
                      <w:lang w:eastAsia="it-IT"/>
                    </w:rPr>
                  </w:pPr>
                  <w:r w:rsidRPr="00395EEF">
                    <w:rPr>
                      <w:rFonts w:ascii="Verdana" w:hAnsi="Verdana"/>
                      <w:b/>
                      <w:bCs/>
                      <w:sz w:val="22"/>
                      <w:szCs w:val="22"/>
                      <w:lang w:eastAsia="it-IT"/>
                    </w:rPr>
                    <w:t xml:space="preserve">  </w:t>
                  </w:r>
                </w:p>
              </w:tc>
              <w:tc>
                <w:tcPr>
                  <w:tcW w:w="0" w:type="auto"/>
                  <w:hideMark/>
                </w:tcPr>
                <w:p w14:paraId="781E6118" w14:textId="77777777" w:rsidR="00395EEF" w:rsidRPr="00395EEF" w:rsidRDefault="00395EEF" w:rsidP="00395EEF">
                  <w:pPr>
                    <w:rPr>
                      <w:rFonts w:ascii="Verdana" w:hAnsi="Verdana"/>
                      <w:i/>
                      <w:iCs/>
                      <w:sz w:val="22"/>
                      <w:szCs w:val="22"/>
                      <w:lang w:eastAsia="it-IT"/>
                    </w:rPr>
                  </w:pPr>
                  <w:r w:rsidRPr="00395EEF">
                    <w:rPr>
                      <w:rFonts w:ascii="Verdana" w:hAnsi="Verdana"/>
                      <w:i/>
                      <w:iCs/>
                      <w:sz w:val="22"/>
                      <w:szCs w:val="22"/>
                      <w:lang w:eastAsia="it-IT"/>
                    </w:rPr>
                    <w:t xml:space="preserve">  </w:t>
                  </w:r>
                </w:p>
              </w:tc>
            </w:tr>
          </w:tbl>
          <w:p w14:paraId="0053321C"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12B61379"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1.   Premessa</w:t>
            </w:r>
          </w:p>
          <w:p w14:paraId="6E15BE61"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53358B00"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Sulla Gazzetta Ufficiale n. 194 del 20 agosto 2013, Supplemento ordinario n. 63/L, è stata pubblicata la legge 9 agosto 2013, n.98 di conversione, con modificazioni, del decreto legge 21 giugno 2013, n.69, recante disposizioni urgenti per il rilancio dell’economia.</w:t>
            </w:r>
          </w:p>
          <w:p w14:paraId="4822637B"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6A4F2F69"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L’ articolo 42-</w:t>
            </w:r>
            <w:r w:rsidRPr="00395EEF">
              <w:rPr>
                <w:rFonts w:ascii="Verdana" w:hAnsi="Verdana"/>
                <w:i/>
                <w:iCs/>
                <w:sz w:val="20"/>
                <w:szCs w:val="20"/>
                <w:lang w:eastAsia="it-IT"/>
              </w:rPr>
              <w:t xml:space="preserve">quater </w:t>
            </w:r>
            <w:r w:rsidRPr="00395EEF">
              <w:rPr>
                <w:rFonts w:ascii="Verdana" w:hAnsi="Verdana"/>
                <w:sz w:val="20"/>
                <w:szCs w:val="20"/>
                <w:lang w:eastAsia="it-IT"/>
              </w:rPr>
              <w:t>della citata legge ha modificato l’art. 7-</w:t>
            </w:r>
            <w:r w:rsidRPr="00395EEF">
              <w:rPr>
                <w:rFonts w:ascii="Verdana" w:hAnsi="Verdana"/>
                <w:i/>
                <w:iCs/>
                <w:sz w:val="20"/>
                <w:szCs w:val="20"/>
                <w:lang w:eastAsia="it-IT"/>
              </w:rPr>
              <w:t xml:space="preserve">ter </w:t>
            </w:r>
            <w:r w:rsidRPr="00395EEF">
              <w:rPr>
                <w:rFonts w:ascii="Verdana" w:hAnsi="Verdana"/>
                <w:sz w:val="20"/>
                <w:szCs w:val="20"/>
                <w:lang w:eastAsia="it-IT"/>
              </w:rPr>
              <w:t>del decreto legge 10 febbraio 2009, n. 5 convertito, con modificazioni, dalla legge 9 aprile 2009, n. 33, inserendo, dopo il comma 14</w:t>
            </w:r>
            <w:r w:rsidRPr="00395EEF">
              <w:rPr>
                <w:rFonts w:ascii="Verdana" w:hAnsi="Verdana"/>
                <w:i/>
                <w:iCs/>
                <w:sz w:val="20"/>
                <w:szCs w:val="20"/>
                <w:lang w:eastAsia="it-IT"/>
              </w:rPr>
              <w:t>-bis</w:t>
            </w:r>
            <w:r w:rsidRPr="00395EEF">
              <w:rPr>
                <w:rFonts w:ascii="Verdana" w:hAnsi="Verdana"/>
                <w:sz w:val="20"/>
                <w:szCs w:val="20"/>
                <w:lang w:eastAsia="it-IT"/>
              </w:rPr>
              <w:t>, il comma 14–</w:t>
            </w:r>
            <w:r w:rsidRPr="00395EEF">
              <w:rPr>
                <w:rFonts w:ascii="Verdana" w:hAnsi="Verdana"/>
                <w:i/>
                <w:iCs/>
                <w:sz w:val="20"/>
                <w:szCs w:val="20"/>
                <w:lang w:eastAsia="it-IT"/>
              </w:rPr>
              <w:t>ter</w:t>
            </w:r>
            <w:r w:rsidRPr="00395EEF">
              <w:rPr>
                <w:rFonts w:ascii="Verdana" w:hAnsi="Verdana"/>
                <w:sz w:val="20"/>
                <w:szCs w:val="20"/>
                <w:lang w:eastAsia="it-IT"/>
              </w:rPr>
              <w:t>.</w:t>
            </w:r>
          </w:p>
          <w:p w14:paraId="7ADAC527"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35CA6C98"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Il comma 14</w:t>
            </w:r>
            <w:r w:rsidRPr="00395EEF">
              <w:rPr>
                <w:rFonts w:ascii="Verdana" w:hAnsi="Verdana"/>
                <w:i/>
                <w:iCs/>
                <w:sz w:val="20"/>
                <w:szCs w:val="20"/>
                <w:lang w:eastAsia="it-IT"/>
              </w:rPr>
              <w:t>–ter</w:t>
            </w:r>
            <w:r w:rsidRPr="00395EEF">
              <w:rPr>
                <w:rFonts w:ascii="Verdana" w:hAnsi="Verdana"/>
                <w:sz w:val="20"/>
                <w:szCs w:val="20"/>
                <w:lang w:eastAsia="it-IT"/>
              </w:rPr>
              <w:t xml:space="preserve"> così dispone: </w:t>
            </w:r>
            <w:r w:rsidRPr="00395EEF">
              <w:rPr>
                <w:rFonts w:ascii="Verdana" w:hAnsi="Verdana"/>
                <w:i/>
                <w:iCs/>
                <w:sz w:val="20"/>
                <w:szCs w:val="20"/>
                <w:lang w:eastAsia="it-IT"/>
              </w:rPr>
              <w:t>“ Ai fini della determinazione del diritto e della misura del trattamento pensionistico, nei casi di lavoratori che risultino, alla data del 22 giugno 2013, cessati per mobilità, oppure titolari di prestazioni straordinarie a carico dei fondi di solidarietà o autorizzati alla prosecuzione volontaria della contribuzione, restano validi ed efficaci i provvedimenti di certificazione di esposizione all’amianto rilasciati dall’Istituto Nazionale per l’Assicurazione contro gli Infortuni sul Lavoro ai fini del conseguimento del benefici di cui all’art. 13, comma 8, della legge 27 marzo 1992, n. 257 e successive modificazioni. I provvedimenti di revoca delle certificazioni rilasciate sono privi di effetto, salvo il caso di dolo dell’interessato accertato in via giudiziale con sentenza definitiva”</w:t>
            </w:r>
            <w:r w:rsidRPr="00395EEF">
              <w:rPr>
                <w:rFonts w:ascii="Verdana" w:hAnsi="Verdana"/>
                <w:sz w:val="20"/>
                <w:szCs w:val="20"/>
                <w:lang w:eastAsia="it-IT"/>
              </w:rPr>
              <w:t>.</w:t>
            </w:r>
          </w:p>
          <w:p w14:paraId="31B4CDC6"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0046F482"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La predetta disposizione è entrata in vigore dal 21 agosto 2013.</w:t>
            </w:r>
          </w:p>
          <w:p w14:paraId="3D1ECEF5"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61F65B87"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Al riguardo, giova rammentare quanto disponeva</w:t>
            </w:r>
            <w:r w:rsidRPr="00395EEF">
              <w:rPr>
                <w:rFonts w:ascii="Verdana" w:hAnsi="Verdana"/>
                <w:i/>
                <w:iCs/>
                <w:sz w:val="20"/>
                <w:szCs w:val="20"/>
                <w:lang w:eastAsia="it-IT"/>
              </w:rPr>
              <w:t xml:space="preserve">, </w:t>
            </w:r>
            <w:r w:rsidRPr="00395EEF">
              <w:rPr>
                <w:rFonts w:ascii="Verdana" w:hAnsi="Verdana"/>
                <w:sz w:val="20"/>
                <w:szCs w:val="20"/>
                <w:lang w:eastAsia="it-IT"/>
              </w:rPr>
              <w:t>prima della suddetta modifica, il comma 14 del richiamato art. 7-</w:t>
            </w:r>
            <w:r w:rsidRPr="00395EEF">
              <w:rPr>
                <w:rFonts w:ascii="Verdana" w:hAnsi="Verdana"/>
                <w:i/>
                <w:iCs/>
                <w:sz w:val="20"/>
                <w:szCs w:val="20"/>
                <w:lang w:eastAsia="it-IT"/>
              </w:rPr>
              <w:t>ter</w:t>
            </w:r>
            <w:r w:rsidRPr="00395EEF">
              <w:rPr>
                <w:rFonts w:ascii="Verdana" w:hAnsi="Verdana"/>
                <w:sz w:val="20"/>
                <w:szCs w:val="20"/>
                <w:lang w:eastAsia="it-IT"/>
              </w:rPr>
              <w:t>: “</w:t>
            </w:r>
            <w:r w:rsidRPr="00395EEF">
              <w:rPr>
                <w:rFonts w:ascii="Verdana" w:hAnsi="Verdana"/>
                <w:i/>
                <w:iCs/>
                <w:sz w:val="20"/>
                <w:szCs w:val="20"/>
                <w:lang w:eastAsia="it-IT"/>
              </w:rPr>
              <w:t>Restano validi ed efficaci i trattamenti pensionistici erogati antecedentemente alla data di entrata in vigore della legge di conversione del presente decreto a seguito degli accertamenti compiuti dall'Istituto nazionale per l'assicurazione contro gli infortuni sul lavoro, ai fini del conseguimento dei benefici di cui all'articolo 13, comma 8, della legge 27 marzo 1992, n. 257 e successive modificazioni, sulla base dei curricula presentati dal datore di lavoro e della documentazione integrativa, salvo il caso di dolo dell'interessato che sia accertato in via giudiziale con sentenza definitiva. All'onere derivante dal presente comma, valutato in 700.000 euro per ciascuno degli anni 2009, 2010 e 2011, in 600.000 euro per ciascuno degli anni 2012, 2013 e 2014, in 500.000 euro per l'anno 2015, in 400.000 euro per ciascuno degli anni 2016 e 2017 e in 200.000 euro annui a decorrere dall'anno 2018, si provvede a valere sul Fondo per l'occupazione di cui all'articolo 1, comma 7, del decreto legge 20 maggio 1993, n. 148, convertito, con modificazioni, dalla legge 19 luglio 1993, n. 236, con pari riduzione dell'autorizzazione di spesa di cui all'articolo 6, comma 4, della legge 8 marzo 2000, n. 53.”</w:t>
            </w:r>
          </w:p>
          <w:p w14:paraId="4322400E" w14:textId="77777777" w:rsidR="00395EEF" w:rsidRPr="00395EEF" w:rsidRDefault="00395EEF" w:rsidP="00395EEF">
            <w:pPr>
              <w:jc w:val="both"/>
              <w:rPr>
                <w:rFonts w:ascii="Verdana" w:hAnsi="Verdana"/>
                <w:sz w:val="20"/>
                <w:szCs w:val="20"/>
                <w:lang w:eastAsia="it-IT"/>
              </w:rPr>
            </w:pPr>
            <w:r w:rsidRPr="00395EEF">
              <w:rPr>
                <w:rFonts w:ascii="Verdana" w:hAnsi="Verdana"/>
                <w:i/>
                <w:iCs/>
                <w:sz w:val="20"/>
                <w:szCs w:val="20"/>
                <w:lang w:eastAsia="it-IT"/>
              </w:rPr>
              <w:t> </w:t>
            </w:r>
          </w:p>
          <w:p w14:paraId="14003626"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Per effetto di tali disposizioni, le prestazioni pensionistiche liquidate con riconoscimento del beneficio pensionistico per esposizione all’amianto, con provvedimento emesso in data anteriore al 12 aprile 2009, restano valide ed efficaci. Le relative indicazioni sono state fornite con circolare n. 68 del 5 maggio 2009.</w:t>
            </w:r>
          </w:p>
          <w:p w14:paraId="672A1A35"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lastRenderedPageBreak/>
              <w:t> </w:t>
            </w:r>
          </w:p>
          <w:p w14:paraId="553C4B41"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Successivamente, l’art. 6, comma 2</w:t>
            </w:r>
            <w:r w:rsidRPr="00395EEF">
              <w:rPr>
                <w:rFonts w:ascii="Verdana" w:hAnsi="Verdana"/>
                <w:i/>
                <w:iCs/>
                <w:sz w:val="20"/>
                <w:szCs w:val="20"/>
                <w:lang w:eastAsia="it-IT"/>
              </w:rPr>
              <w:t>-undecies</w:t>
            </w:r>
            <w:r w:rsidRPr="00395EEF">
              <w:rPr>
                <w:rFonts w:ascii="Verdana" w:hAnsi="Verdana"/>
                <w:sz w:val="20"/>
                <w:szCs w:val="20"/>
                <w:lang w:eastAsia="it-IT"/>
              </w:rPr>
              <w:t>, della legge 24 febbraio 2012, n. 14, di conversione, con modificazioni, del decreto legge 29 dicembre 2011, n. 216, ha modificato il richiamato art. 7</w:t>
            </w:r>
            <w:r w:rsidRPr="00395EEF">
              <w:rPr>
                <w:rFonts w:ascii="Verdana" w:hAnsi="Verdana"/>
                <w:i/>
                <w:iCs/>
                <w:sz w:val="20"/>
                <w:szCs w:val="20"/>
                <w:lang w:eastAsia="it-IT"/>
              </w:rPr>
              <w:t>-ter: “ All’articolo 7-ter del decreto legge 10 febbraio 2009, n. 5, convertito, con modificazioni, dalla legge 9 aprile 2009, n. 33, dopo il comma 14 è inserito il seguente: “14-bis. Gli effetti della disposizione di cui al comma 14, primo periodo, sono prorogati con riferimento ai trattamenti pensionistici erogati fino alla data di entrata in vigore della presente disposizione, senza corresponsione di arretrati per le eventuali rate di pensione sospese fino alla predetta data. I benefici in questione decadono, con obbligo di integrale restituzione delle somme percepite, laddove gli stessi siano stati conseguiti in base ad atti costituenti reato, accertati con sentenza definitiva. All’onere derivante dall’applicazione del medesimo comma, valutato in 602.000 euro per gli anni 2012 e 2013, 322.000 euro per l’anno 2014, 42.000 euro per gli anni dal 2015 al 2020 e 42.000 euro a decorrere dall’anno 2021, si provvede a valere sul Fondo sociale per occupazione e formazione di cui all’articolo 18, comma 1, lettera a) del decreto legge 29 novembre 2008, n. 185, convertito, con modificazioni, dalla legge 28 gennaio 2009, n. 2”.</w:t>
            </w:r>
          </w:p>
          <w:p w14:paraId="051FDAF4"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321F6A0E"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Per effetto di tali disposizioni, le prestazioni pensionistiche liquidate con riconoscimento del beneficio pensionistico per esposizione all’amianto, con provvedimento emesso in data anteriore al 28 febbraio 2012, restano valide ed efficaci. Le relative indicazioni sono state fornite con circolare n. 61 del 7 maggio 2012.</w:t>
            </w:r>
          </w:p>
          <w:p w14:paraId="7A346363"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46D5D808"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2.    Destinatari</w:t>
            </w:r>
          </w:p>
          <w:p w14:paraId="14CD898B"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2C225CC9"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Destinatari delle disposizioni di cui al comma 14</w:t>
            </w:r>
            <w:r w:rsidRPr="00395EEF">
              <w:rPr>
                <w:rFonts w:ascii="Verdana" w:hAnsi="Verdana"/>
                <w:i/>
                <w:iCs/>
                <w:sz w:val="20"/>
                <w:szCs w:val="20"/>
                <w:lang w:eastAsia="it-IT"/>
              </w:rPr>
              <w:t xml:space="preserve">–ter </w:t>
            </w:r>
            <w:r w:rsidRPr="00395EEF">
              <w:rPr>
                <w:rFonts w:ascii="Verdana" w:hAnsi="Verdana"/>
                <w:sz w:val="20"/>
                <w:szCs w:val="20"/>
                <w:lang w:eastAsia="it-IT"/>
              </w:rPr>
              <w:t>sono i soggetti che, al 22 giugno 2013, data di entrata in vigore del citato decreto-legge n. 69, risultino:</w:t>
            </w:r>
          </w:p>
          <w:p w14:paraId="3D4E42D7"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7E67184E"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cessati per mobilità;</w:t>
            </w:r>
          </w:p>
          <w:p w14:paraId="541C5F3F"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titolari di prestazioni straordinarie a carico dei fondi di solidarietà;</w:t>
            </w:r>
          </w:p>
          <w:p w14:paraId="5F7ED7EA"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autorizzati alla prosecuzione volontaria della contribuzione.</w:t>
            </w:r>
          </w:p>
          <w:p w14:paraId="202E18A8"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2374A70C"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3.   Salvaguardia, ai fini pensionistici, della validità ed efficacia delle certificazioni INAIL di esposizione all’amianto</w:t>
            </w:r>
          </w:p>
          <w:p w14:paraId="4D392BCF"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255283BC"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In applicazione delle predette disposizioni, ai fini della determinazione del diritto e della misura del trattamento pensionistico, sono privi di effetto i provvedimenti di revoca, adottati dall’INAIL, delle certificazioni rilasciate dallo stesso Istituto assicuratore in favore dei soggetti di cui al precedente punto 2.</w:t>
            </w:r>
          </w:p>
          <w:p w14:paraId="69948D79"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0304546B"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58275134"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4.   Dolo</w:t>
            </w:r>
          </w:p>
          <w:p w14:paraId="77632AE8"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3271F028"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Le disposizioni in parola non trovano applicazione nel caso in cui la certificazione sia stata ottenuta dall’interessato con dolo accertato in via giudiziale con sentenza definitiva.</w:t>
            </w:r>
          </w:p>
          <w:p w14:paraId="5816FB55"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04B4CCB1"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5.   Quadro normativo di riferimento</w:t>
            </w:r>
          </w:p>
          <w:p w14:paraId="271D497D"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29991A2D"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xml:space="preserve">Rimane ferma la normativa di carattere generale ai fini del riconoscimento del beneficio </w:t>
            </w:r>
            <w:r w:rsidRPr="00395EEF">
              <w:rPr>
                <w:rFonts w:ascii="Verdana" w:hAnsi="Verdana"/>
                <w:sz w:val="20"/>
                <w:szCs w:val="20"/>
                <w:lang w:eastAsia="it-IT"/>
              </w:rPr>
              <w:lastRenderedPageBreak/>
              <w:t>pensionistico da esposizione all’amianto ai sensi dell’articolo 13, comma 8, della legge n. 257 del 1992, e successive modificazioni, e gli adempimenti dalle stesse disposizioni previsti a carico dell’INAIL.</w:t>
            </w:r>
          </w:p>
          <w:p w14:paraId="718DFB0C"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6EE4FF3B"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 xml:space="preserve">6.   Decorrenza della pensione </w:t>
            </w:r>
          </w:p>
          <w:p w14:paraId="62206EA5"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1141A5A8"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La decorrenza delle pensioni, da liquidare in favore dei soggetti di cui al punto 2 della presente circolare, non può essere anteriore al 1° settembre 2013, mese successivo alla data di entrata in vigore della legge n. 98 del 2013.</w:t>
            </w:r>
          </w:p>
          <w:p w14:paraId="1E7CDF39"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378C423C"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7.   Effetti sulla prestazione di indennità di mobilità ordinaria</w:t>
            </w:r>
          </w:p>
          <w:p w14:paraId="1AD5B7F0"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13FE3840"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Come noto l'art. 7, comma 3 della legge n. 223 del 1991 stabilisce che l'indennità di mobilità non è corrisposta successivamente alla data del compimento dell'età pensionabile ovvero, se a tale data non è ancora maturato il diritto alla pensione di vecchiaia, successivamente alla data in cui tale diritto viene a maturazione.</w:t>
            </w:r>
          </w:p>
          <w:p w14:paraId="1AC09C5C"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L'articolo 6, comma 7, della legge n. 236 del 1991, prevede l'incompatibilità dell'indennità di mobilità con i trattamenti pensionistici diretti a carico dell'assicurazione generale obbligatoria per l'invalidità, la  vecchiaia ed i superstiti dei lavoratori dipendenti (quindi anche l'incompatibilità con la pensione di anzianità).</w:t>
            </w:r>
          </w:p>
          <w:p w14:paraId="6A3B363C"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Pertanto, qualora in applicazione delle norme sopra citate e del predetto art 42 quater della citata legge n. 98 del 2013, la decorrenza del trattamento pensionistico cada nel periodo di fruizione dell’indennità di mobilità, si viene a creare una indebita percezione di quest’ultima e conseguentemente occorrerà procedere al recupero dell’eventuale indebito creatosi.</w:t>
            </w:r>
          </w:p>
          <w:p w14:paraId="7C9C7A34"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p w14:paraId="1A091800" w14:textId="77777777" w:rsidR="00395EEF" w:rsidRPr="00395EEF" w:rsidRDefault="00395EEF" w:rsidP="00395EEF">
            <w:pPr>
              <w:spacing w:before="100" w:beforeAutospacing="1" w:after="100" w:afterAutospacing="1"/>
              <w:outlineLvl w:val="2"/>
              <w:rPr>
                <w:rFonts w:ascii="Verdana" w:hAnsi="Verdana"/>
                <w:b/>
                <w:bCs/>
                <w:sz w:val="27"/>
                <w:szCs w:val="27"/>
                <w:lang w:eastAsia="it-IT"/>
              </w:rPr>
            </w:pPr>
            <w:r w:rsidRPr="00395EEF">
              <w:rPr>
                <w:b/>
                <w:bCs/>
                <w:sz w:val="27"/>
                <w:szCs w:val="27"/>
                <w:lang w:eastAsia="it-IT"/>
              </w:rPr>
              <w:t>8.   Oneri</w:t>
            </w:r>
          </w:p>
          <w:p w14:paraId="69EA7C42" w14:textId="77777777" w:rsidR="00395EEF" w:rsidRPr="00395EEF" w:rsidRDefault="00395EEF" w:rsidP="00395EEF">
            <w:pPr>
              <w:jc w:val="both"/>
              <w:rPr>
                <w:rFonts w:ascii="Verdana" w:hAnsi="Verdana"/>
                <w:sz w:val="20"/>
                <w:szCs w:val="20"/>
                <w:lang w:eastAsia="it-IT"/>
              </w:rPr>
            </w:pPr>
            <w:r w:rsidRPr="00395EEF">
              <w:rPr>
                <w:b/>
                <w:bCs/>
                <w:sz w:val="20"/>
                <w:szCs w:val="20"/>
                <w:lang w:eastAsia="it-IT"/>
              </w:rPr>
              <w:t> </w:t>
            </w:r>
          </w:p>
          <w:p w14:paraId="63ADDC05"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Gli oneri derivanti dalla salvaguardia di cui trattasi sono posti a carico dello Stato.</w:t>
            </w:r>
          </w:p>
          <w:p w14:paraId="1FDEA92C" w14:textId="77777777" w:rsidR="00395EEF" w:rsidRPr="00395EEF" w:rsidRDefault="00395EEF" w:rsidP="00395EEF">
            <w:pPr>
              <w:jc w:val="both"/>
              <w:rPr>
                <w:rFonts w:ascii="Verdana" w:hAnsi="Verdana"/>
                <w:sz w:val="20"/>
                <w:szCs w:val="20"/>
                <w:lang w:eastAsia="it-IT"/>
              </w:rPr>
            </w:pPr>
            <w:r w:rsidRPr="00395EEF">
              <w:rPr>
                <w:rFonts w:ascii="Verdana" w:hAnsi="Verdana"/>
                <w:sz w:val="20"/>
                <w:szCs w:val="20"/>
                <w:lang w:eastAsia="it-IT"/>
              </w:rPr>
              <w:t> </w:t>
            </w:r>
          </w:p>
          <w:tbl>
            <w:tblPr>
              <w:tblW w:w="5000" w:type="pct"/>
              <w:tblCellMar>
                <w:top w:w="15" w:type="dxa"/>
                <w:left w:w="15" w:type="dxa"/>
                <w:bottom w:w="15" w:type="dxa"/>
                <w:right w:w="15" w:type="dxa"/>
              </w:tblCellMar>
              <w:tblLook w:val="04A0" w:firstRow="1" w:lastRow="0" w:firstColumn="1" w:lastColumn="0" w:noHBand="0" w:noVBand="1"/>
            </w:tblPr>
            <w:tblGrid>
              <w:gridCol w:w="3180"/>
              <w:gridCol w:w="3277"/>
              <w:gridCol w:w="3181"/>
            </w:tblGrid>
            <w:tr w:rsidR="00395EEF" w:rsidRPr="00395EEF" w14:paraId="3B94C9C2" w14:textId="77777777" w:rsidTr="00395EEF">
              <w:tc>
                <w:tcPr>
                  <w:tcW w:w="1650" w:type="pct"/>
                  <w:hideMark/>
                </w:tcPr>
                <w:p w14:paraId="3C0CD267" w14:textId="77777777" w:rsidR="00395EEF" w:rsidRPr="00395EEF" w:rsidRDefault="00395EEF" w:rsidP="00395EEF">
                  <w:pPr>
                    <w:rPr>
                      <w:rFonts w:ascii="Verdana" w:hAnsi="Verdana"/>
                      <w:sz w:val="20"/>
                      <w:szCs w:val="20"/>
                      <w:lang w:eastAsia="it-IT"/>
                    </w:rPr>
                  </w:pPr>
                  <w:r w:rsidRPr="00395EEF">
                    <w:rPr>
                      <w:rFonts w:ascii="Verdana" w:hAnsi="Verdana"/>
                      <w:sz w:val="20"/>
                      <w:szCs w:val="20"/>
                      <w:lang w:eastAsia="it-IT"/>
                    </w:rPr>
                    <w:t> </w:t>
                  </w:r>
                </w:p>
              </w:tc>
              <w:tc>
                <w:tcPr>
                  <w:tcW w:w="1700" w:type="pct"/>
                  <w:hideMark/>
                </w:tcPr>
                <w:p w14:paraId="52F095F4" w14:textId="77777777" w:rsidR="00395EEF" w:rsidRPr="00395EEF" w:rsidRDefault="00395EEF" w:rsidP="00395EEF">
                  <w:pPr>
                    <w:jc w:val="center"/>
                    <w:rPr>
                      <w:rFonts w:ascii="Verdana" w:hAnsi="Verdana"/>
                      <w:sz w:val="22"/>
                      <w:szCs w:val="22"/>
                      <w:lang w:eastAsia="it-IT"/>
                    </w:rPr>
                  </w:pPr>
                  <w:r w:rsidRPr="00395EEF">
                    <w:rPr>
                      <w:rFonts w:ascii="Verdana" w:hAnsi="Verdana"/>
                      <w:sz w:val="22"/>
                      <w:szCs w:val="22"/>
                      <w:lang w:eastAsia="it-IT"/>
                    </w:rPr>
                    <w:t>Il Direttore Generale</w:t>
                  </w:r>
                </w:p>
              </w:tc>
              <w:tc>
                <w:tcPr>
                  <w:tcW w:w="0" w:type="auto"/>
                  <w:hideMark/>
                </w:tcPr>
                <w:p w14:paraId="72B597FD" w14:textId="77777777" w:rsidR="00395EEF" w:rsidRPr="00395EEF" w:rsidRDefault="00395EEF" w:rsidP="00395EEF">
                  <w:pPr>
                    <w:rPr>
                      <w:rFonts w:ascii="Verdana" w:hAnsi="Verdana"/>
                      <w:sz w:val="20"/>
                      <w:szCs w:val="20"/>
                      <w:lang w:eastAsia="it-IT"/>
                    </w:rPr>
                  </w:pPr>
                  <w:r w:rsidRPr="00395EEF">
                    <w:rPr>
                      <w:rFonts w:ascii="Verdana" w:hAnsi="Verdana"/>
                      <w:sz w:val="20"/>
                      <w:szCs w:val="20"/>
                      <w:lang w:eastAsia="it-IT"/>
                    </w:rPr>
                    <w:t> </w:t>
                  </w:r>
                </w:p>
              </w:tc>
            </w:tr>
            <w:tr w:rsidR="00395EEF" w:rsidRPr="00395EEF" w14:paraId="28785F75" w14:textId="77777777" w:rsidTr="00395EEF">
              <w:tc>
                <w:tcPr>
                  <w:tcW w:w="1650" w:type="pct"/>
                  <w:hideMark/>
                </w:tcPr>
                <w:p w14:paraId="560CF343" w14:textId="77777777" w:rsidR="00395EEF" w:rsidRPr="00395EEF" w:rsidRDefault="00395EEF" w:rsidP="00395EEF">
                  <w:pPr>
                    <w:rPr>
                      <w:rFonts w:ascii="Verdana" w:hAnsi="Verdana"/>
                      <w:sz w:val="20"/>
                      <w:szCs w:val="20"/>
                      <w:lang w:eastAsia="it-IT"/>
                    </w:rPr>
                  </w:pPr>
                  <w:r w:rsidRPr="00395EEF">
                    <w:rPr>
                      <w:rFonts w:ascii="Verdana" w:hAnsi="Verdana"/>
                      <w:sz w:val="20"/>
                      <w:szCs w:val="20"/>
                      <w:lang w:eastAsia="it-IT"/>
                    </w:rPr>
                    <w:t> </w:t>
                  </w:r>
                </w:p>
              </w:tc>
              <w:tc>
                <w:tcPr>
                  <w:tcW w:w="1700" w:type="pct"/>
                  <w:hideMark/>
                </w:tcPr>
                <w:p w14:paraId="49DD3EBC" w14:textId="77777777" w:rsidR="00395EEF" w:rsidRPr="00395EEF" w:rsidRDefault="00395EEF" w:rsidP="00395EEF">
                  <w:pPr>
                    <w:jc w:val="center"/>
                    <w:rPr>
                      <w:rFonts w:ascii="Verdana" w:hAnsi="Verdana"/>
                      <w:sz w:val="22"/>
                      <w:szCs w:val="22"/>
                      <w:lang w:eastAsia="it-IT"/>
                    </w:rPr>
                  </w:pPr>
                  <w:r w:rsidRPr="00395EEF">
                    <w:rPr>
                      <w:rFonts w:ascii="Verdana" w:hAnsi="Verdana"/>
                      <w:sz w:val="22"/>
                      <w:szCs w:val="22"/>
                      <w:lang w:eastAsia="it-IT"/>
                    </w:rPr>
                    <w:t>Nori</w:t>
                  </w:r>
                </w:p>
              </w:tc>
              <w:tc>
                <w:tcPr>
                  <w:tcW w:w="0" w:type="auto"/>
                  <w:vAlign w:val="center"/>
                  <w:hideMark/>
                </w:tcPr>
                <w:p w14:paraId="47BC93A1" w14:textId="77777777" w:rsidR="00395EEF" w:rsidRPr="00395EEF" w:rsidRDefault="00395EEF" w:rsidP="00395EEF">
                  <w:pPr>
                    <w:rPr>
                      <w:sz w:val="20"/>
                      <w:szCs w:val="20"/>
                      <w:lang w:eastAsia="it-IT"/>
                    </w:rPr>
                  </w:pPr>
                </w:p>
              </w:tc>
            </w:tr>
          </w:tbl>
          <w:p w14:paraId="2CF2C86C" w14:textId="77777777" w:rsidR="00395EEF" w:rsidRPr="00395EEF" w:rsidRDefault="00395EEF" w:rsidP="00395EEF">
            <w:pPr>
              <w:rPr>
                <w:rFonts w:ascii="Verdana" w:hAnsi="Verdana"/>
                <w:sz w:val="20"/>
                <w:szCs w:val="20"/>
                <w:lang w:eastAsia="it-IT"/>
              </w:rPr>
            </w:pPr>
          </w:p>
        </w:tc>
      </w:tr>
    </w:tbl>
    <w:p w14:paraId="0258ED2D" w14:textId="77777777" w:rsidR="00E653BA" w:rsidRDefault="00E653BA"/>
    <w:sectPr w:rsidR="00E65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12842"/>
    <w:multiLevelType w:val="multilevel"/>
    <w:tmpl w:val="394C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3B"/>
    <w:rsid w:val="00084960"/>
    <w:rsid w:val="003043DE"/>
    <w:rsid w:val="00395EEF"/>
    <w:rsid w:val="00890E3B"/>
    <w:rsid w:val="00E653BA"/>
    <w:rsid w:val="00FC54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6C6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60"/>
    <w:rPr>
      <w:sz w:val="24"/>
      <w:szCs w:val="24"/>
    </w:rPr>
  </w:style>
  <w:style w:type="paragraph" w:styleId="Heading1">
    <w:name w:val="heading 1"/>
    <w:basedOn w:val="Normal"/>
    <w:next w:val="Normal"/>
    <w:link w:val="Heading1Char"/>
    <w:qFormat/>
    <w:rsid w:val="00084960"/>
    <w:pPr>
      <w:keepNext/>
      <w:outlineLvl w:val="0"/>
    </w:pPr>
    <w:rPr>
      <w:b/>
      <w:bCs/>
      <w:i/>
      <w:iCs/>
      <w:sz w:val="4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960"/>
    <w:rPr>
      <w:b/>
      <w:bCs/>
      <w:i/>
      <w:iCs/>
      <w:sz w:val="44"/>
      <w:szCs w:val="24"/>
      <w:lang w:val="en-GB" w:eastAsia="fr-FR"/>
    </w:rPr>
  </w:style>
  <w:style w:type="character" w:customStyle="1" w:styleId="meta-prep">
    <w:name w:val="meta-prep"/>
    <w:basedOn w:val="DefaultParagraphFont"/>
    <w:rsid w:val="00890E3B"/>
  </w:style>
  <w:style w:type="character" w:customStyle="1" w:styleId="entry-date3">
    <w:name w:val="entry-date3"/>
    <w:basedOn w:val="DefaultParagraphFont"/>
    <w:rsid w:val="00890E3B"/>
  </w:style>
  <w:style w:type="character" w:customStyle="1" w:styleId="meta-sep">
    <w:name w:val="meta-sep"/>
    <w:basedOn w:val="DefaultParagraphFont"/>
    <w:rsid w:val="00890E3B"/>
  </w:style>
  <w:style w:type="character" w:customStyle="1" w:styleId="author">
    <w:name w:val="author"/>
    <w:basedOn w:val="DefaultParagraphFont"/>
    <w:rsid w:val="00890E3B"/>
  </w:style>
  <w:style w:type="paragraph" w:customStyle="1" w:styleId="didascalia1">
    <w:name w:val="didascalia1"/>
    <w:basedOn w:val="Normal"/>
    <w:rsid w:val="00890E3B"/>
    <w:pPr>
      <w:spacing w:before="100" w:beforeAutospacing="1" w:after="360" w:line="210" w:lineRule="atLeast"/>
    </w:pPr>
    <w:rPr>
      <w:color w:val="FFFFFF"/>
      <w:lang w:eastAsia="it-IT"/>
    </w:rPr>
  </w:style>
  <w:style w:type="character" w:styleId="Strong">
    <w:name w:val="Strong"/>
    <w:basedOn w:val="DefaultParagraphFont"/>
    <w:uiPriority w:val="22"/>
    <w:qFormat/>
    <w:rsid w:val="00890E3B"/>
    <w:rPr>
      <w:b/>
      <w:bCs/>
    </w:rPr>
  </w:style>
  <w:style w:type="character" w:styleId="Emphasis">
    <w:name w:val="Emphasis"/>
    <w:basedOn w:val="DefaultParagraphFont"/>
    <w:uiPriority w:val="20"/>
    <w:qFormat/>
    <w:rsid w:val="00890E3B"/>
    <w:rPr>
      <w:i/>
      <w:iCs/>
    </w:rPr>
  </w:style>
  <w:style w:type="paragraph" w:styleId="BalloonText">
    <w:name w:val="Balloon Text"/>
    <w:basedOn w:val="Normal"/>
    <w:link w:val="BalloonTextChar"/>
    <w:uiPriority w:val="99"/>
    <w:semiHidden/>
    <w:unhideWhenUsed/>
    <w:rsid w:val="00890E3B"/>
    <w:rPr>
      <w:rFonts w:ascii="Tahoma" w:hAnsi="Tahoma" w:cs="Tahoma"/>
      <w:sz w:val="16"/>
      <w:szCs w:val="16"/>
    </w:rPr>
  </w:style>
  <w:style w:type="character" w:customStyle="1" w:styleId="BalloonTextChar">
    <w:name w:val="Balloon Text Char"/>
    <w:basedOn w:val="DefaultParagraphFont"/>
    <w:link w:val="BalloonText"/>
    <w:uiPriority w:val="99"/>
    <w:semiHidden/>
    <w:rsid w:val="00890E3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60"/>
    <w:rPr>
      <w:sz w:val="24"/>
      <w:szCs w:val="24"/>
    </w:rPr>
  </w:style>
  <w:style w:type="paragraph" w:styleId="Heading1">
    <w:name w:val="heading 1"/>
    <w:basedOn w:val="Normal"/>
    <w:next w:val="Normal"/>
    <w:link w:val="Heading1Char"/>
    <w:qFormat/>
    <w:rsid w:val="00084960"/>
    <w:pPr>
      <w:keepNext/>
      <w:outlineLvl w:val="0"/>
    </w:pPr>
    <w:rPr>
      <w:b/>
      <w:bCs/>
      <w:i/>
      <w:iCs/>
      <w:sz w:val="4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4960"/>
    <w:rPr>
      <w:b/>
      <w:bCs/>
      <w:i/>
      <w:iCs/>
      <w:sz w:val="44"/>
      <w:szCs w:val="24"/>
      <w:lang w:val="en-GB" w:eastAsia="fr-FR"/>
    </w:rPr>
  </w:style>
  <w:style w:type="character" w:customStyle="1" w:styleId="meta-prep">
    <w:name w:val="meta-prep"/>
    <w:basedOn w:val="DefaultParagraphFont"/>
    <w:rsid w:val="00890E3B"/>
  </w:style>
  <w:style w:type="character" w:customStyle="1" w:styleId="entry-date3">
    <w:name w:val="entry-date3"/>
    <w:basedOn w:val="DefaultParagraphFont"/>
    <w:rsid w:val="00890E3B"/>
  </w:style>
  <w:style w:type="character" w:customStyle="1" w:styleId="meta-sep">
    <w:name w:val="meta-sep"/>
    <w:basedOn w:val="DefaultParagraphFont"/>
    <w:rsid w:val="00890E3B"/>
  </w:style>
  <w:style w:type="character" w:customStyle="1" w:styleId="author">
    <w:name w:val="author"/>
    <w:basedOn w:val="DefaultParagraphFont"/>
    <w:rsid w:val="00890E3B"/>
  </w:style>
  <w:style w:type="paragraph" w:customStyle="1" w:styleId="didascalia1">
    <w:name w:val="didascalia1"/>
    <w:basedOn w:val="Normal"/>
    <w:rsid w:val="00890E3B"/>
    <w:pPr>
      <w:spacing w:before="100" w:beforeAutospacing="1" w:after="360" w:line="210" w:lineRule="atLeast"/>
    </w:pPr>
    <w:rPr>
      <w:color w:val="FFFFFF"/>
      <w:lang w:eastAsia="it-IT"/>
    </w:rPr>
  </w:style>
  <w:style w:type="character" w:styleId="Strong">
    <w:name w:val="Strong"/>
    <w:basedOn w:val="DefaultParagraphFont"/>
    <w:uiPriority w:val="22"/>
    <w:qFormat/>
    <w:rsid w:val="00890E3B"/>
    <w:rPr>
      <w:b/>
      <w:bCs/>
    </w:rPr>
  </w:style>
  <w:style w:type="character" w:styleId="Emphasis">
    <w:name w:val="Emphasis"/>
    <w:basedOn w:val="DefaultParagraphFont"/>
    <w:uiPriority w:val="20"/>
    <w:qFormat/>
    <w:rsid w:val="00890E3B"/>
    <w:rPr>
      <w:i/>
      <w:iCs/>
    </w:rPr>
  </w:style>
  <w:style w:type="paragraph" w:styleId="BalloonText">
    <w:name w:val="Balloon Text"/>
    <w:basedOn w:val="Normal"/>
    <w:link w:val="BalloonTextChar"/>
    <w:uiPriority w:val="99"/>
    <w:semiHidden/>
    <w:unhideWhenUsed/>
    <w:rsid w:val="00890E3B"/>
    <w:rPr>
      <w:rFonts w:ascii="Tahoma" w:hAnsi="Tahoma" w:cs="Tahoma"/>
      <w:sz w:val="16"/>
      <w:szCs w:val="16"/>
    </w:rPr>
  </w:style>
  <w:style w:type="character" w:customStyle="1" w:styleId="BalloonTextChar">
    <w:name w:val="Balloon Text Char"/>
    <w:basedOn w:val="DefaultParagraphFont"/>
    <w:link w:val="BalloonText"/>
    <w:uiPriority w:val="99"/>
    <w:semiHidden/>
    <w:rsid w:val="0089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4311">
      <w:bodyDiv w:val="1"/>
      <w:marLeft w:val="0"/>
      <w:marRight w:val="0"/>
      <w:marTop w:val="0"/>
      <w:marBottom w:val="0"/>
      <w:divBdr>
        <w:top w:val="none" w:sz="0" w:space="0" w:color="auto"/>
        <w:left w:val="none" w:sz="0" w:space="0" w:color="auto"/>
        <w:bottom w:val="none" w:sz="0" w:space="0" w:color="auto"/>
        <w:right w:val="none" w:sz="0" w:space="0" w:color="auto"/>
      </w:divBdr>
      <w:divsChild>
        <w:div w:id="1029911307">
          <w:marLeft w:val="75"/>
          <w:marRight w:val="0"/>
          <w:marTop w:val="0"/>
          <w:marBottom w:val="0"/>
          <w:divBdr>
            <w:top w:val="none" w:sz="0" w:space="0" w:color="auto"/>
            <w:left w:val="none" w:sz="0" w:space="0" w:color="auto"/>
            <w:bottom w:val="none" w:sz="0" w:space="0" w:color="auto"/>
            <w:right w:val="none" w:sz="0" w:space="0" w:color="auto"/>
          </w:divBdr>
          <w:divsChild>
            <w:div w:id="1629317472">
              <w:marLeft w:val="30"/>
              <w:marRight w:val="30"/>
              <w:marTop w:val="30"/>
              <w:marBottom w:val="30"/>
              <w:divBdr>
                <w:top w:val="none" w:sz="0" w:space="0" w:color="auto"/>
                <w:left w:val="none" w:sz="0" w:space="0" w:color="auto"/>
                <w:bottom w:val="none" w:sz="0" w:space="0" w:color="auto"/>
                <w:right w:val="none" w:sz="0" w:space="0" w:color="auto"/>
              </w:divBdr>
              <w:divsChild>
                <w:div w:id="150560433">
                  <w:marLeft w:val="225"/>
                  <w:marRight w:val="225"/>
                  <w:marTop w:val="75"/>
                  <w:marBottom w:val="75"/>
                  <w:divBdr>
                    <w:top w:val="none" w:sz="0" w:space="0" w:color="auto"/>
                    <w:left w:val="none" w:sz="0" w:space="0" w:color="auto"/>
                    <w:bottom w:val="none" w:sz="0" w:space="0" w:color="auto"/>
                    <w:right w:val="none" w:sz="0" w:space="0" w:color="auto"/>
                  </w:divBdr>
                  <w:divsChild>
                    <w:div w:id="1514026340">
                      <w:marLeft w:val="0"/>
                      <w:marRight w:val="0"/>
                      <w:marTop w:val="600"/>
                      <w:marBottom w:val="600"/>
                      <w:divBdr>
                        <w:top w:val="none" w:sz="0" w:space="0" w:color="auto"/>
                        <w:left w:val="none" w:sz="0" w:space="0" w:color="auto"/>
                        <w:bottom w:val="none" w:sz="0" w:space="0" w:color="auto"/>
                        <w:right w:val="none" w:sz="0" w:space="0" w:color="auto"/>
                      </w:divBdr>
                    </w:div>
                    <w:div w:id="1530216514">
                      <w:marLeft w:val="108"/>
                      <w:marRight w:val="108"/>
                      <w:marTop w:val="0"/>
                      <w:marBottom w:val="0"/>
                      <w:divBdr>
                        <w:top w:val="none" w:sz="0" w:space="0" w:color="auto"/>
                        <w:left w:val="none" w:sz="0" w:space="0" w:color="auto"/>
                        <w:bottom w:val="none" w:sz="0" w:space="0" w:color="auto"/>
                        <w:right w:val="none" w:sz="0" w:space="0" w:color="auto"/>
                      </w:divBdr>
                    </w:div>
                    <w:div w:id="1028288278">
                      <w:marLeft w:val="108"/>
                      <w:marRight w:val="108"/>
                      <w:marTop w:val="0"/>
                      <w:marBottom w:val="0"/>
                      <w:divBdr>
                        <w:top w:val="none" w:sz="0" w:space="0" w:color="auto"/>
                        <w:left w:val="none" w:sz="0" w:space="0" w:color="auto"/>
                        <w:bottom w:val="none" w:sz="0" w:space="0" w:color="auto"/>
                        <w:right w:val="none" w:sz="0" w:space="0" w:color="auto"/>
                      </w:divBdr>
                    </w:div>
                    <w:div w:id="525750134">
                      <w:marLeft w:val="0"/>
                      <w:marRight w:val="0"/>
                      <w:marTop w:val="450"/>
                      <w:marBottom w:val="150"/>
                      <w:divBdr>
                        <w:top w:val="none" w:sz="0" w:space="0" w:color="auto"/>
                        <w:left w:val="none" w:sz="0" w:space="0" w:color="auto"/>
                        <w:bottom w:val="none" w:sz="0" w:space="0" w:color="auto"/>
                        <w:right w:val="none" w:sz="0" w:space="0" w:color="auto"/>
                      </w:divBdr>
                    </w:div>
                    <w:div w:id="508913862">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Child>
        </w:div>
      </w:divsChild>
    </w:div>
    <w:div w:id="1662194626">
      <w:bodyDiv w:val="1"/>
      <w:marLeft w:val="0"/>
      <w:marRight w:val="0"/>
      <w:marTop w:val="0"/>
      <w:marBottom w:val="0"/>
      <w:divBdr>
        <w:top w:val="none" w:sz="0" w:space="0" w:color="auto"/>
        <w:left w:val="none" w:sz="0" w:space="0" w:color="auto"/>
        <w:bottom w:val="none" w:sz="0" w:space="0" w:color="auto"/>
        <w:right w:val="none" w:sz="0" w:space="0" w:color="auto"/>
      </w:divBdr>
      <w:divsChild>
        <w:div w:id="204106312">
          <w:marLeft w:val="0"/>
          <w:marRight w:val="0"/>
          <w:marTop w:val="975"/>
          <w:marBottom w:val="0"/>
          <w:divBdr>
            <w:top w:val="none" w:sz="0" w:space="0" w:color="auto"/>
            <w:left w:val="none" w:sz="0" w:space="0" w:color="auto"/>
            <w:bottom w:val="none" w:sz="0" w:space="0" w:color="auto"/>
            <w:right w:val="none" w:sz="0" w:space="0" w:color="auto"/>
          </w:divBdr>
          <w:divsChild>
            <w:div w:id="747771422">
              <w:marLeft w:val="0"/>
              <w:marRight w:val="0"/>
              <w:marTop w:val="0"/>
              <w:marBottom w:val="0"/>
              <w:divBdr>
                <w:top w:val="none" w:sz="0" w:space="0" w:color="auto"/>
                <w:left w:val="none" w:sz="0" w:space="0" w:color="auto"/>
                <w:bottom w:val="none" w:sz="0" w:space="0" w:color="auto"/>
                <w:right w:val="none" w:sz="0" w:space="0" w:color="auto"/>
              </w:divBdr>
              <w:divsChild>
                <w:div w:id="1806194468">
                  <w:marLeft w:val="0"/>
                  <w:marRight w:val="0"/>
                  <w:marTop w:val="0"/>
                  <w:marBottom w:val="0"/>
                  <w:divBdr>
                    <w:top w:val="none" w:sz="0" w:space="0" w:color="auto"/>
                    <w:left w:val="none" w:sz="0" w:space="0" w:color="auto"/>
                    <w:bottom w:val="none" w:sz="0" w:space="0" w:color="auto"/>
                    <w:right w:val="none" w:sz="0" w:space="0" w:color="auto"/>
                  </w:divBdr>
                  <w:divsChild>
                    <w:div w:id="1266571793">
                      <w:marLeft w:val="150"/>
                      <w:marRight w:val="150"/>
                      <w:marTop w:val="0"/>
                      <w:marBottom w:val="0"/>
                      <w:divBdr>
                        <w:top w:val="none" w:sz="0" w:space="0" w:color="auto"/>
                        <w:left w:val="none" w:sz="0" w:space="0" w:color="auto"/>
                        <w:bottom w:val="none" w:sz="0" w:space="0" w:color="auto"/>
                        <w:right w:val="none" w:sz="0" w:space="0" w:color="auto"/>
                      </w:divBdr>
                      <w:divsChild>
                        <w:div w:id="1120225831">
                          <w:marLeft w:val="0"/>
                          <w:marRight w:val="0"/>
                          <w:marTop w:val="150"/>
                          <w:marBottom w:val="150"/>
                          <w:divBdr>
                            <w:top w:val="none" w:sz="0" w:space="0" w:color="auto"/>
                            <w:left w:val="none" w:sz="0" w:space="0" w:color="auto"/>
                            <w:bottom w:val="none" w:sz="0" w:space="0" w:color="auto"/>
                            <w:right w:val="none" w:sz="0" w:space="0" w:color="auto"/>
                          </w:divBdr>
                          <w:divsChild>
                            <w:div w:id="834878169">
                              <w:marLeft w:val="0"/>
                              <w:marRight w:val="0"/>
                              <w:marTop w:val="0"/>
                              <w:marBottom w:val="0"/>
                              <w:divBdr>
                                <w:top w:val="none" w:sz="0" w:space="0" w:color="auto"/>
                                <w:left w:val="none" w:sz="0" w:space="0" w:color="auto"/>
                                <w:bottom w:val="none" w:sz="0" w:space="0" w:color="auto"/>
                                <w:right w:val="none" w:sz="0" w:space="0" w:color="auto"/>
                              </w:divBdr>
                              <w:divsChild>
                                <w:div w:id="1835952727">
                                  <w:marLeft w:val="0"/>
                                  <w:marRight w:val="0"/>
                                  <w:marTop w:val="0"/>
                                  <w:marBottom w:val="0"/>
                                  <w:divBdr>
                                    <w:top w:val="none" w:sz="0" w:space="0" w:color="auto"/>
                                    <w:left w:val="none" w:sz="0" w:space="0" w:color="auto"/>
                                    <w:bottom w:val="none" w:sz="0" w:space="0" w:color="auto"/>
                                    <w:right w:val="none" w:sz="0" w:space="0" w:color="auto"/>
                                  </w:divBdr>
                                  <w:divsChild>
                                    <w:div w:id="390084508">
                                      <w:marLeft w:val="0"/>
                                      <w:marRight w:val="270"/>
                                      <w:marTop w:val="75"/>
                                      <w:marBottom w:val="0"/>
                                      <w:divBdr>
                                        <w:top w:val="single" w:sz="36" w:space="0" w:color="CCCCCC"/>
                                        <w:left w:val="single" w:sz="36" w:space="0" w:color="CCCCCC"/>
                                        <w:bottom w:val="single" w:sz="36" w:space="0" w:color="CCCCCC"/>
                                        <w:right w:val="single" w:sz="36" w:space="0" w:color="CCCCCC"/>
                                      </w:divBdr>
                                      <w:divsChild>
                                        <w:div w:id="12722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ps.it/bussola/visualizzadoc.aspx?sVirtuAlURL=/circolari/../CircolariZIP/Circolare%20numero%20164%20del%2029-11-2013.pdf" TargetMode="External"/><Relationship Id="rId12" Type="http://schemas.openxmlformats.org/officeDocument/2006/relationships/image" Target="media/image4.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otidianosicurezza.it/sicurezza-sul-lavoro/esperto-risponde/inps-certificazioni-esposizioni-amianto.htm" TargetMode="External"/><Relationship Id="rId7" Type="http://schemas.openxmlformats.org/officeDocument/2006/relationships/hyperlink" Target="http://www.quotidianosicurezza.it/author/enzo-gonano"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1716</Words>
  <Characters>9782</Characters>
  <Application>Microsoft Macintosh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fulvio</dc:creator>
  <cp:lastModifiedBy>Maura</cp:lastModifiedBy>
  <cp:revision>4</cp:revision>
  <dcterms:created xsi:type="dcterms:W3CDTF">2013-12-03T08:13:00Z</dcterms:created>
  <dcterms:modified xsi:type="dcterms:W3CDTF">2013-12-04T12:19:00Z</dcterms:modified>
</cp:coreProperties>
</file>